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FB" w:rsidRPr="000F23FB" w:rsidRDefault="000F23FB" w:rsidP="000F23FB">
      <w:pPr>
        <w:snapToGrid w:val="0"/>
        <w:jc w:val="center"/>
        <w:rPr>
          <w:rFonts w:ascii="华文中宋" w:eastAsia="华文中宋" w:hAnsi="华文中宋" w:cs="Times New Roman"/>
          <w:sz w:val="44"/>
          <w:szCs w:val="44"/>
        </w:rPr>
      </w:pPr>
    </w:p>
    <w:p w:rsidR="000F23FB" w:rsidRPr="000F23FB" w:rsidRDefault="000F23FB" w:rsidP="000F23FB">
      <w:pPr>
        <w:snapToGrid w:val="0"/>
        <w:jc w:val="center"/>
        <w:rPr>
          <w:rFonts w:ascii="华文中宋" w:eastAsia="华文中宋" w:hAnsi="华文中宋" w:cs="Times New Roman" w:hint="eastAsia"/>
          <w:sz w:val="44"/>
          <w:szCs w:val="44"/>
        </w:rPr>
      </w:pPr>
      <w:r w:rsidRPr="000F23FB">
        <w:rPr>
          <w:rFonts w:ascii="华文中宋" w:eastAsia="华文中宋" w:hAnsi="华文中宋" w:cs="Times New Roman" w:hint="eastAsia"/>
          <w:sz w:val="44"/>
          <w:szCs w:val="44"/>
        </w:rPr>
        <w:t xml:space="preserve"> </w:t>
      </w:r>
    </w:p>
    <w:p w:rsidR="000F23FB" w:rsidRPr="000F23FB" w:rsidRDefault="000F23FB" w:rsidP="000F23FB">
      <w:pPr>
        <w:snapToGrid w:val="0"/>
        <w:jc w:val="center"/>
        <w:rPr>
          <w:rFonts w:ascii="华文中宋" w:eastAsia="华文中宋" w:hAnsi="华文中宋" w:cs="Times New Roman" w:hint="eastAsia"/>
          <w:sz w:val="52"/>
          <w:szCs w:val="52"/>
        </w:rPr>
      </w:pPr>
      <w:r w:rsidRPr="000F23FB">
        <w:rPr>
          <w:rFonts w:ascii="华文中宋" w:eastAsia="华文中宋" w:hAnsi="华文中宋" w:cs="Times New Roman" w:hint="eastAsia"/>
          <w:sz w:val="52"/>
          <w:szCs w:val="52"/>
        </w:rPr>
        <w:t>2018年度部门决算</w:t>
      </w:r>
    </w:p>
    <w:p w:rsidR="000F23FB" w:rsidRPr="000F23FB" w:rsidRDefault="000F23FB" w:rsidP="000F23FB">
      <w:pPr>
        <w:snapToGrid w:val="0"/>
        <w:jc w:val="center"/>
        <w:rPr>
          <w:rFonts w:ascii="华文中宋" w:eastAsia="华文中宋" w:hAnsi="华文中宋" w:cs="Times New Roman" w:hint="eastAsia"/>
          <w:sz w:val="44"/>
          <w:szCs w:val="44"/>
        </w:rPr>
      </w:pPr>
      <w:r w:rsidRPr="000F23FB">
        <w:rPr>
          <w:rFonts w:ascii="华文中宋" w:eastAsia="华文中宋" w:hAnsi="华文中宋" w:cs="Times New Roman" w:hint="eastAsia"/>
          <w:sz w:val="44"/>
          <w:szCs w:val="44"/>
        </w:rPr>
        <w:t xml:space="preserve"> </w:t>
      </w:r>
    </w:p>
    <w:p w:rsidR="000F23FB" w:rsidRPr="000F23FB" w:rsidRDefault="000F23FB" w:rsidP="000F23FB">
      <w:pPr>
        <w:snapToGrid w:val="0"/>
        <w:jc w:val="center"/>
        <w:rPr>
          <w:rFonts w:ascii="华文中宋" w:eastAsia="华文中宋" w:hAnsi="华文中宋" w:cs="Times New Roman" w:hint="eastAsia"/>
          <w:sz w:val="44"/>
          <w:szCs w:val="44"/>
        </w:rPr>
      </w:pPr>
      <w:r w:rsidRPr="000F23FB">
        <w:rPr>
          <w:rFonts w:ascii="华文中宋" w:eastAsia="华文中宋" w:hAnsi="华文中宋" w:cs="Times New Roman" w:hint="eastAsia"/>
          <w:sz w:val="44"/>
          <w:szCs w:val="44"/>
        </w:rPr>
        <w:t xml:space="preserve"> </w:t>
      </w:r>
    </w:p>
    <w:p w:rsidR="000F23FB" w:rsidRPr="000F23FB" w:rsidRDefault="000F23FB" w:rsidP="000F23FB">
      <w:pPr>
        <w:snapToGrid w:val="0"/>
        <w:jc w:val="center"/>
        <w:rPr>
          <w:rFonts w:ascii="华文中宋" w:eastAsia="华文中宋" w:hAnsi="华文中宋" w:cs="Times New Roman" w:hint="eastAsia"/>
          <w:sz w:val="44"/>
          <w:szCs w:val="44"/>
        </w:rPr>
      </w:pPr>
      <w:r w:rsidRPr="000F23FB">
        <w:rPr>
          <w:rFonts w:ascii="华文中宋" w:eastAsia="华文中宋" w:hAnsi="华文中宋" w:cs="Times New Roman" w:hint="eastAsia"/>
          <w:sz w:val="44"/>
          <w:szCs w:val="44"/>
        </w:rPr>
        <w:t xml:space="preserve"> </w:t>
      </w:r>
    </w:p>
    <w:p w:rsidR="000F23FB" w:rsidRPr="000F23FB" w:rsidRDefault="000F23FB" w:rsidP="000F23FB">
      <w:pPr>
        <w:snapToGrid w:val="0"/>
        <w:jc w:val="center"/>
        <w:rPr>
          <w:rFonts w:ascii="华文中宋" w:eastAsia="华文中宋" w:hAnsi="华文中宋" w:cs="Times New Roman" w:hint="eastAsia"/>
          <w:sz w:val="44"/>
          <w:szCs w:val="44"/>
        </w:rPr>
      </w:pPr>
      <w:r w:rsidRPr="000F23FB">
        <w:rPr>
          <w:rFonts w:ascii="华文中宋" w:eastAsia="华文中宋" w:hAnsi="华文中宋" w:cs="Times New Roman" w:hint="eastAsia"/>
          <w:sz w:val="44"/>
          <w:szCs w:val="44"/>
        </w:rPr>
        <w:t xml:space="preserve"> </w:t>
      </w:r>
    </w:p>
    <w:p w:rsidR="000F23FB" w:rsidRPr="000F23FB" w:rsidRDefault="000F23FB" w:rsidP="000F23FB">
      <w:pPr>
        <w:snapToGrid w:val="0"/>
        <w:jc w:val="center"/>
        <w:rPr>
          <w:rFonts w:ascii="华文中宋" w:eastAsia="华文中宋" w:hAnsi="华文中宋" w:cs="Times New Roman" w:hint="eastAsia"/>
          <w:sz w:val="44"/>
          <w:szCs w:val="44"/>
        </w:rPr>
      </w:pPr>
      <w:r w:rsidRPr="000F23FB">
        <w:rPr>
          <w:rFonts w:ascii="华文中宋" w:eastAsia="华文中宋" w:hAnsi="华文中宋" w:cs="Times New Roman" w:hint="eastAsia"/>
          <w:sz w:val="44"/>
          <w:szCs w:val="44"/>
        </w:rPr>
        <w:t xml:space="preserve"> </w:t>
      </w:r>
    </w:p>
    <w:p w:rsidR="000F23FB" w:rsidRPr="000F23FB" w:rsidRDefault="000F23FB" w:rsidP="000F23FB">
      <w:pPr>
        <w:snapToGrid w:val="0"/>
        <w:jc w:val="center"/>
        <w:rPr>
          <w:rFonts w:ascii="华文中宋" w:eastAsia="华文中宋" w:hAnsi="华文中宋" w:cs="Times New Roman" w:hint="eastAsia"/>
          <w:sz w:val="44"/>
          <w:szCs w:val="44"/>
        </w:rPr>
      </w:pPr>
      <w:r w:rsidRPr="000F23FB">
        <w:rPr>
          <w:rFonts w:ascii="华文中宋" w:eastAsia="华文中宋" w:hAnsi="华文中宋" w:cs="Times New Roman" w:hint="eastAsia"/>
          <w:sz w:val="44"/>
          <w:szCs w:val="44"/>
        </w:rPr>
        <w:t xml:space="preserve"> </w:t>
      </w:r>
    </w:p>
    <w:p w:rsidR="000F23FB" w:rsidRPr="000F23FB" w:rsidRDefault="000F23FB" w:rsidP="000F23FB">
      <w:pPr>
        <w:snapToGrid w:val="0"/>
        <w:jc w:val="center"/>
        <w:rPr>
          <w:rFonts w:ascii="华文中宋" w:eastAsia="华文中宋" w:hAnsi="华文中宋" w:cs="Times New Roman" w:hint="eastAsia"/>
          <w:sz w:val="44"/>
          <w:szCs w:val="44"/>
        </w:rPr>
      </w:pPr>
      <w:r w:rsidRPr="000F23FB">
        <w:rPr>
          <w:rFonts w:ascii="华文中宋" w:eastAsia="华文中宋" w:hAnsi="华文中宋" w:cs="Times New Roman" w:hint="eastAsia"/>
          <w:sz w:val="44"/>
          <w:szCs w:val="44"/>
        </w:rPr>
        <w:t xml:space="preserve"> </w:t>
      </w:r>
    </w:p>
    <w:p w:rsidR="000F23FB" w:rsidRPr="000F23FB" w:rsidRDefault="000F23FB" w:rsidP="000F23FB">
      <w:pPr>
        <w:snapToGrid w:val="0"/>
        <w:jc w:val="center"/>
        <w:rPr>
          <w:rFonts w:ascii="华文中宋" w:eastAsia="华文中宋" w:hAnsi="华文中宋" w:cs="Times New Roman" w:hint="eastAsia"/>
          <w:sz w:val="44"/>
          <w:szCs w:val="44"/>
        </w:rPr>
      </w:pPr>
      <w:r w:rsidRPr="000F23FB">
        <w:rPr>
          <w:rFonts w:ascii="华文中宋" w:eastAsia="华文中宋" w:hAnsi="华文中宋" w:cs="Times New Roman" w:hint="eastAsia"/>
          <w:sz w:val="44"/>
          <w:szCs w:val="44"/>
        </w:rPr>
        <w:t xml:space="preserve"> </w:t>
      </w:r>
    </w:p>
    <w:p w:rsidR="000F23FB" w:rsidRPr="000F23FB" w:rsidRDefault="000F23FB" w:rsidP="000F23FB">
      <w:pPr>
        <w:snapToGrid w:val="0"/>
        <w:jc w:val="center"/>
        <w:rPr>
          <w:rFonts w:ascii="华文中宋" w:eastAsia="华文中宋" w:hAnsi="华文中宋" w:cs="Times New Roman" w:hint="eastAsia"/>
          <w:sz w:val="44"/>
          <w:szCs w:val="44"/>
        </w:rPr>
      </w:pPr>
      <w:r w:rsidRPr="000F23FB">
        <w:rPr>
          <w:rFonts w:ascii="华文中宋" w:eastAsia="华文中宋" w:hAnsi="华文中宋" w:cs="Times New Roman" w:hint="eastAsia"/>
          <w:sz w:val="44"/>
          <w:szCs w:val="44"/>
        </w:rPr>
        <w:t xml:space="preserve"> </w:t>
      </w:r>
    </w:p>
    <w:p w:rsidR="000F23FB" w:rsidRPr="000F23FB" w:rsidRDefault="000F23FB" w:rsidP="000F23FB">
      <w:pPr>
        <w:snapToGrid w:val="0"/>
        <w:jc w:val="center"/>
        <w:rPr>
          <w:rFonts w:ascii="华文中宋" w:eastAsia="华文中宋" w:hAnsi="华文中宋" w:cs="Times New Roman" w:hint="eastAsia"/>
          <w:sz w:val="44"/>
          <w:szCs w:val="44"/>
        </w:rPr>
      </w:pPr>
      <w:r w:rsidRPr="000F23FB">
        <w:rPr>
          <w:rFonts w:ascii="华文中宋" w:eastAsia="华文中宋" w:hAnsi="华文中宋" w:cs="Times New Roman" w:hint="eastAsia"/>
          <w:sz w:val="44"/>
          <w:szCs w:val="44"/>
        </w:rPr>
        <w:t xml:space="preserve"> </w:t>
      </w:r>
    </w:p>
    <w:p w:rsidR="000F23FB" w:rsidRPr="000F23FB" w:rsidRDefault="000F23FB" w:rsidP="000F23FB">
      <w:pPr>
        <w:snapToGrid w:val="0"/>
        <w:jc w:val="center"/>
        <w:rPr>
          <w:rFonts w:ascii="华文中宋" w:eastAsia="华文中宋" w:hAnsi="华文中宋" w:cs="Times New Roman" w:hint="eastAsia"/>
          <w:sz w:val="44"/>
          <w:szCs w:val="44"/>
        </w:rPr>
      </w:pPr>
      <w:r w:rsidRPr="000F23FB">
        <w:rPr>
          <w:rFonts w:ascii="华文中宋" w:eastAsia="华文中宋" w:hAnsi="华文中宋" w:cs="Times New Roman" w:hint="eastAsia"/>
          <w:sz w:val="44"/>
          <w:szCs w:val="44"/>
        </w:rPr>
        <w:t xml:space="preserve"> </w:t>
      </w:r>
    </w:p>
    <w:p w:rsidR="000F23FB" w:rsidRPr="000F23FB" w:rsidRDefault="000F23FB" w:rsidP="000F23FB">
      <w:pPr>
        <w:snapToGrid w:val="0"/>
        <w:rPr>
          <w:rFonts w:ascii="华文中宋" w:eastAsia="华文中宋" w:hAnsi="华文中宋" w:cs="Times New Roman" w:hint="eastAsia"/>
          <w:sz w:val="44"/>
          <w:szCs w:val="44"/>
        </w:rPr>
      </w:pPr>
      <w:r w:rsidRPr="000F23FB">
        <w:rPr>
          <w:rFonts w:ascii="华文中宋" w:eastAsia="华文中宋" w:hAnsi="华文中宋" w:cs="Times New Roman" w:hint="eastAsia"/>
          <w:sz w:val="44"/>
          <w:szCs w:val="44"/>
        </w:rPr>
        <w:t xml:space="preserve"> </w:t>
      </w:r>
    </w:p>
    <w:p w:rsidR="000F23FB" w:rsidRPr="000F23FB" w:rsidRDefault="000F23FB" w:rsidP="000F23FB">
      <w:pPr>
        <w:snapToGrid w:val="0"/>
        <w:jc w:val="center"/>
        <w:rPr>
          <w:rFonts w:ascii="华文中宋" w:eastAsia="华文中宋" w:hAnsi="华文中宋" w:cs="Times New Roman" w:hint="eastAsia"/>
          <w:sz w:val="36"/>
          <w:szCs w:val="36"/>
        </w:rPr>
      </w:pPr>
      <w:r w:rsidRPr="000F23FB">
        <w:rPr>
          <w:rFonts w:ascii="华文中宋" w:eastAsia="华文中宋" w:hAnsi="华文中宋" w:cs="Times New Roman" w:hint="eastAsia"/>
          <w:sz w:val="32"/>
          <w:szCs w:val="32"/>
        </w:rPr>
        <w:t xml:space="preserve"> </w:t>
      </w:r>
      <w:r w:rsidRPr="000F23FB">
        <w:rPr>
          <w:rFonts w:ascii="华文中宋" w:eastAsia="华文中宋" w:hAnsi="华文中宋" w:cs="Times New Roman" w:hint="eastAsia"/>
          <w:sz w:val="36"/>
          <w:szCs w:val="36"/>
        </w:rPr>
        <w:t>双鸭山市住房公积金管理中心</w:t>
      </w:r>
    </w:p>
    <w:p w:rsidR="000F23FB" w:rsidRPr="000F23FB" w:rsidRDefault="000F23FB" w:rsidP="000F23FB">
      <w:pPr>
        <w:snapToGrid w:val="0"/>
        <w:jc w:val="center"/>
        <w:rPr>
          <w:rFonts w:ascii="华文中宋" w:eastAsia="华文中宋" w:hAnsi="华文中宋" w:cs="Times New Roman" w:hint="eastAsia"/>
          <w:sz w:val="36"/>
          <w:szCs w:val="36"/>
        </w:rPr>
      </w:pPr>
      <w:r w:rsidRPr="000F23FB">
        <w:rPr>
          <w:rFonts w:ascii="华文中宋" w:eastAsia="华文中宋" w:hAnsi="华文中宋" w:cs="Times New Roman" w:hint="eastAsia"/>
          <w:sz w:val="36"/>
          <w:szCs w:val="36"/>
        </w:rPr>
        <w:t>2019年9月 29 日</w:t>
      </w:r>
    </w:p>
    <w:p w:rsidR="000F23FB" w:rsidRPr="000F23FB" w:rsidRDefault="000F23FB" w:rsidP="000F23FB">
      <w:pPr>
        <w:snapToGrid w:val="0"/>
        <w:jc w:val="center"/>
        <w:rPr>
          <w:rFonts w:ascii="华文中宋" w:eastAsia="华文中宋" w:hAnsi="华文中宋" w:cs="Times New Roman" w:hint="eastAsia"/>
          <w:sz w:val="44"/>
          <w:szCs w:val="44"/>
        </w:rPr>
      </w:pPr>
      <w:r w:rsidRPr="000F23FB">
        <w:rPr>
          <w:rFonts w:ascii="华文中宋" w:eastAsia="华文中宋" w:hAnsi="华文中宋" w:cs="Times New Roman" w:hint="eastAsia"/>
          <w:sz w:val="44"/>
          <w:szCs w:val="44"/>
        </w:rPr>
        <w:t xml:space="preserve"> </w:t>
      </w:r>
    </w:p>
    <w:p w:rsidR="000F23FB" w:rsidRPr="000F23FB" w:rsidRDefault="000F23FB" w:rsidP="000F23FB">
      <w:pPr>
        <w:snapToGrid w:val="0"/>
        <w:jc w:val="center"/>
        <w:rPr>
          <w:rFonts w:ascii="华文中宋" w:eastAsia="华文中宋" w:hAnsi="华文中宋" w:cs="Times New Roman" w:hint="eastAsia"/>
          <w:sz w:val="44"/>
          <w:szCs w:val="44"/>
        </w:rPr>
      </w:pPr>
      <w:r w:rsidRPr="000F23FB">
        <w:rPr>
          <w:rFonts w:ascii="华文中宋" w:eastAsia="华文中宋" w:hAnsi="华文中宋" w:cs="Times New Roman" w:hint="eastAsia"/>
          <w:sz w:val="44"/>
          <w:szCs w:val="44"/>
        </w:rPr>
        <w:t xml:space="preserve"> </w:t>
      </w:r>
    </w:p>
    <w:p w:rsidR="000F23FB" w:rsidRPr="000F23FB" w:rsidRDefault="000F23FB" w:rsidP="000F23FB">
      <w:pPr>
        <w:widowControl/>
        <w:jc w:val="left"/>
        <w:rPr>
          <w:rFonts w:ascii="华文中宋" w:eastAsia="华文中宋" w:hAnsi="华文中宋" w:cs="宋体"/>
          <w:b/>
          <w:bCs/>
          <w:sz w:val="44"/>
          <w:szCs w:val="44"/>
        </w:rPr>
        <w:sectPr w:rsidR="000F23FB" w:rsidRPr="000F23FB">
          <w:pgSz w:w="11906" w:h="16838"/>
          <w:pgMar w:top="1440" w:right="1803" w:bottom="1440" w:left="1803" w:header="720" w:footer="720" w:gutter="0"/>
          <w:cols w:space="720"/>
          <w:docGrid w:type="lines" w:linePitch="319"/>
        </w:sectPr>
      </w:pPr>
    </w:p>
    <w:p w:rsidR="000F23FB" w:rsidRPr="000F23FB" w:rsidRDefault="000F23FB" w:rsidP="000F23FB">
      <w:pPr>
        <w:autoSpaceDE w:val="0"/>
        <w:snapToGrid w:val="0"/>
        <w:spacing w:line="500" w:lineRule="exact"/>
        <w:jc w:val="center"/>
        <w:rPr>
          <w:rFonts w:ascii="华文中宋" w:eastAsia="华文中宋" w:hAnsi="华文中宋" w:cs="Times New Roman" w:hint="eastAsia"/>
          <w:b/>
          <w:bCs/>
          <w:sz w:val="44"/>
          <w:szCs w:val="44"/>
        </w:rPr>
      </w:pPr>
      <w:r w:rsidRPr="000F23FB">
        <w:rPr>
          <w:rFonts w:ascii="华文中宋" w:eastAsia="华文中宋" w:hAnsi="华文中宋" w:cs="Times New Roman" w:hint="eastAsia"/>
          <w:b/>
          <w:bCs/>
          <w:sz w:val="44"/>
          <w:szCs w:val="44"/>
        </w:rPr>
        <w:lastRenderedPageBreak/>
        <w:t xml:space="preserve"> </w:t>
      </w:r>
    </w:p>
    <w:p w:rsidR="000F23FB" w:rsidRPr="000F23FB" w:rsidRDefault="000F23FB" w:rsidP="000F23FB">
      <w:pPr>
        <w:autoSpaceDE w:val="0"/>
        <w:snapToGrid w:val="0"/>
        <w:spacing w:line="500" w:lineRule="exact"/>
        <w:jc w:val="center"/>
        <w:rPr>
          <w:rFonts w:ascii="华文中宋" w:eastAsia="华文中宋" w:hAnsi="华文中宋" w:cs="Times New Roman" w:hint="eastAsia"/>
          <w:b/>
          <w:bCs/>
          <w:sz w:val="44"/>
          <w:szCs w:val="44"/>
        </w:rPr>
      </w:pPr>
      <w:r w:rsidRPr="000F23FB">
        <w:rPr>
          <w:rFonts w:ascii="华文中宋" w:eastAsia="华文中宋" w:hAnsi="华文中宋" w:cs="Times New Roman" w:hint="eastAsia"/>
          <w:b/>
          <w:bCs/>
          <w:sz w:val="44"/>
          <w:szCs w:val="44"/>
        </w:rPr>
        <w:t>目   录</w:t>
      </w:r>
    </w:p>
    <w:p w:rsidR="000F23FB" w:rsidRPr="000F23FB" w:rsidRDefault="000F23FB" w:rsidP="000F23FB">
      <w:pPr>
        <w:autoSpaceDE w:val="0"/>
        <w:spacing w:line="408" w:lineRule="auto"/>
        <w:rPr>
          <w:rFonts w:ascii="仿宋_GB2312" w:eastAsia="宋体" w:hAnsi="仿宋_GB2312" w:cs="Times New Roman" w:hint="eastAsia"/>
          <w:b/>
          <w:bCs/>
          <w:sz w:val="32"/>
          <w:szCs w:val="32"/>
        </w:rPr>
      </w:pPr>
      <w:r w:rsidRPr="000F23FB">
        <w:rPr>
          <w:rFonts w:ascii="仿宋_GB2312" w:eastAsia="宋体" w:hAnsi="仿宋_GB2312" w:cs="Times New Roman"/>
          <w:b/>
          <w:bCs/>
          <w:sz w:val="32"/>
          <w:szCs w:val="32"/>
        </w:rPr>
        <w:t xml:space="preserve"> </w:t>
      </w:r>
    </w:p>
    <w:p w:rsidR="000F23FB" w:rsidRPr="000F23FB" w:rsidRDefault="000F23FB" w:rsidP="000F23FB">
      <w:pPr>
        <w:autoSpaceDE w:val="0"/>
        <w:snapToGrid w:val="0"/>
        <w:spacing w:line="384" w:lineRule="auto"/>
        <w:rPr>
          <w:rFonts w:ascii="Times New Roman" w:eastAsia="宋体" w:hAnsi="Times New Roman" w:cs="Times New Roman"/>
          <w:szCs w:val="21"/>
        </w:rPr>
      </w:pPr>
      <w:hyperlink w:anchor="_Toc20078_" w:history="1">
        <w:r w:rsidRPr="000F23FB">
          <w:rPr>
            <w:rFonts w:ascii="黑体" w:eastAsia="黑体" w:hAnsi="黑体" w:cs="Times New Roman" w:hint="eastAsia"/>
            <w:color w:val="0000FF"/>
            <w:sz w:val="32"/>
            <w:szCs w:val="32"/>
            <w:u w:val="single"/>
          </w:rPr>
          <w:t>第一部分  部门概况</w:t>
        </w:r>
        <w:r w:rsidRPr="000F23FB">
          <w:rPr>
            <w:rFonts w:ascii="黑体" w:eastAsia="黑体" w:hAnsi="黑体" w:cs="Times New Roman" w:hint="eastAsia"/>
            <w:color w:val="0000FF"/>
            <w:sz w:val="24"/>
            <w:szCs w:val="24"/>
            <w:u w:val="single"/>
          </w:rPr>
          <w:tab/>
          <w:t>2</w:t>
        </w:r>
      </w:hyperlink>
    </w:p>
    <w:p w:rsidR="000F23FB" w:rsidRPr="000F23FB" w:rsidRDefault="000F23FB" w:rsidP="000F23FB">
      <w:pPr>
        <w:autoSpaceDE w:val="0"/>
        <w:snapToGrid w:val="0"/>
        <w:spacing w:before="100" w:beforeAutospacing="1" w:after="100" w:afterAutospacing="1" w:line="384" w:lineRule="auto"/>
        <w:rPr>
          <w:rFonts w:ascii="黑体" w:eastAsia="黑体" w:hAnsi="黑体" w:cs="Times New Roman"/>
          <w:sz w:val="24"/>
          <w:szCs w:val="24"/>
        </w:rPr>
      </w:pPr>
      <w:hyperlink w:anchor="_Toc31258_" w:history="1">
        <w:r w:rsidRPr="000F23FB">
          <w:rPr>
            <w:rFonts w:ascii="黑体" w:eastAsia="黑体" w:hAnsi="黑体" w:cs="Times New Roman" w:hint="eastAsia"/>
            <w:color w:val="0000FF"/>
            <w:sz w:val="24"/>
            <w:szCs w:val="24"/>
            <w:u w:val="single"/>
          </w:rPr>
          <w:t>一、部门职责</w:t>
        </w:r>
        <w:r w:rsidRPr="000F23FB">
          <w:rPr>
            <w:rFonts w:ascii="黑体" w:eastAsia="黑体" w:hAnsi="黑体" w:cs="Times New Roman" w:hint="eastAsia"/>
            <w:color w:val="0000FF"/>
            <w:sz w:val="24"/>
            <w:szCs w:val="24"/>
            <w:u w:val="single"/>
          </w:rPr>
          <w:tab/>
          <w:t>2</w:t>
        </w:r>
      </w:hyperlink>
    </w:p>
    <w:p w:rsidR="000F23FB" w:rsidRPr="000F23FB" w:rsidRDefault="000F23FB" w:rsidP="000F23FB">
      <w:pPr>
        <w:autoSpaceDE w:val="0"/>
        <w:snapToGrid w:val="0"/>
        <w:spacing w:before="100" w:beforeAutospacing="1" w:after="100" w:afterAutospacing="1" w:line="384" w:lineRule="auto"/>
        <w:rPr>
          <w:rFonts w:ascii="黑体" w:eastAsia="黑体" w:hAnsi="黑体" w:cs="Times New Roman" w:hint="eastAsia"/>
          <w:sz w:val="24"/>
          <w:szCs w:val="24"/>
        </w:rPr>
      </w:pPr>
      <w:hyperlink w:anchor="_Toc29536_" w:history="1">
        <w:r w:rsidRPr="000F23FB">
          <w:rPr>
            <w:rFonts w:ascii="黑体" w:eastAsia="黑体" w:hAnsi="黑体" w:cs="Times New Roman" w:hint="eastAsia"/>
            <w:color w:val="0000FF"/>
            <w:sz w:val="24"/>
            <w:szCs w:val="24"/>
            <w:u w:val="single"/>
          </w:rPr>
          <w:t>二、机构设置</w:t>
        </w:r>
        <w:r w:rsidRPr="000F23FB">
          <w:rPr>
            <w:rFonts w:ascii="黑体" w:eastAsia="黑体" w:hAnsi="黑体" w:cs="Times New Roman" w:hint="eastAsia"/>
            <w:color w:val="0000FF"/>
            <w:sz w:val="24"/>
            <w:szCs w:val="24"/>
            <w:u w:val="single"/>
          </w:rPr>
          <w:tab/>
          <w:t>2</w:t>
        </w:r>
      </w:hyperlink>
    </w:p>
    <w:p w:rsidR="000F23FB" w:rsidRPr="000F23FB" w:rsidRDefault="000F23FB" w:rsidP="000F23FB">
      <w:pPr>
        <w:autoSpaceDE w:val="0"/>
        <w:snapToGrid w:val="0"/>
        <w:spacing w:before="100" w:beforeAutospacing="1" w:after="100" w:afterAutospacing="1" w:line="384" w:lineRule="auto"/>
        <w:rPr>
          <w:rFonts w:ascii="黑体" w:eastAsia="黑体" w:hAnsi="黑体" w:cs="Times New Roman" w:hint="eastAsia"/>
          <w:sz w:val="24"/>
          <w:szCs w:val="24"/>
        </w:rPr>
      </w:pPr>
      <w:hyperlink w:anchor="_Toc29084_" w:history="1">
        <w:r w:rsidRPr="000F23FB">
          <w:rPr>
            <w:rFonts w:ascii="黑体" w:eastAsia="黑体" w:hAnsi="黑体" w:cs="Times New Roman" w:hint="eastAsia"/>
            <w:color w:val="0000FF"/>
            <w:sz w:val="24"/>
            <w:szCs w:val="24"/>
            <w:u w:val="single"/>
          </w:rPr>
          <w:t>三、部门决算编报范围和人员情况</w:t>
        </w:r>
        <w:r w:rsidRPr="000F23FB">
          <w:rPr>
            <w:rFonts w:ascii="黑体" w:eastAsia="黑体" w:hAnsi="黑体" w:cs="Times New Roman" w:hint="eastAsia"/>
            <w:color w:val="0000FF"/>
            <w:sz w:val="24"/>
            <w:szCs w:val="24"/>
            <w:u w:val="single"/>
          </w:rPr>
          <w:tab/>
          <w:t>4</w:t>
        </w:r>
      </w:hyperlink>
    </w:p>
    <w:p w:rsidR="000F23FB" w:rsidRPr="000F23FB" w:rsidRDefault="000F23FB" w:rsidP="000F23FB">
      <w:pPr>
        <w:autoSpaceDE w:val="0"/>
        <w:snapToGrid w:val="0"/>
        <w:spacing w:line="384" w:lineRule="auto"/>
        <w:rPr>
          <w:rFonts w:ascii="黑体" w:eastAsia="黑体" w:hAnsi="黑体" w:cs="Times New Roman" w:hint="eastAsia"/>
          <w:sz w:val="32"/>
          <w:szCs w:val="32"/>
        </w:rPr>
      </w:pPr>
      <w:hyperlink w:anchor="_Toc23530_" w:history="1">
        <w:r w:rsidRPr="000F23FB">
          <w:rPr>
            <w:rFonts w:ascii="黑体" w:eastAsia="黑体" w:hAnsi="黑体" w:cs="Times New Roman" w:hint="eastAsia"/>
            <w:color w:val="0000FF"/>
            <w:sz w:val="32"/>
            <w:szCs w:val="32"/>
            <w:u w:val="single"/>
          </w:rPr>
          <w:t>第二部分  2018年度部门决算报表</w:t>
        </w:r>
        <w:r w:rsidRPr="000F23FB">
          <w:rPr>
            <w:rFonts w:ascii="黑体" w:eastAsia="黑体" w:hAnsi="黑体" w:cs="Times New Roman" w:hint="eastAsia"/>
            <w:color w:val="0000FF"/>
            <w:sz w:val="24"/>
            <w:szCs w:val="24"/>
            <w:u w:val="single"/>
          </w:rPr>
          <w:tab/>
          <w:t>5</w:t>
        </w:r>
      </w:hyperlink>
    </w:p>
    <w:p w:rsidR="000F23FB" w:rsidRPr="000F23FB" w:rsidRDefault="000F23FB" w:rsidP="000F23FB">
      <w:pPr>
        <w:autoSpaceDE w:val="0"/>
        <w:snapToGrid w:val="0"/>
        <w:spacing w:before="100" w:beforeAutospacing="1" w:after="100" w:afterAutospacing="1" w:line="384" w:lineRule="auto"/>
        <w:rPr>
          <w:rFonts w:ascii="黑体" w:eastAsia="黑体" w:hAnsi="黑体" w:cs="Times New Roman" w:hint="eastAsia"/>
          <w:sz w:val="24"/>
          <w:szCs w:val="24"/>
        </w:rPr>
      </w:pPr>
      <w:r w:rsidRPr="000F23FB">
        <w:rPr>
          <w:rFonts w:ascii="黑体" w:eastAsia="黑体" w:hAnsi="黑体" w:cs="Times New Roman" w:hint="eastAsia"/>
          <w:sz w:val="24"/>
          <w:szCs w:val="24"/>
        </w:rPr>
        <w:t>一、</w:t>
      </w:r>
      <w:hyperlink w:anchor="_Toc17512_" w:history="1">
        <w:r w:rsidRPr="000F23FB">
          <w:rPr>
            <w:rFonts w:ascii="黑体" w:eastAsia="黑体" w:hAnsi="黑体" w:cs="Times New Roman" w:hint="eastAsia"/>
            <w:color w:val="0000FF"/>
            <w:sz w:val="24"/>
            <w:szCs w:val="24"/>
            <w:u w:val="single"/>
          </w:rPr>
          <w:t>收入支出决算总表</w:t>
        </w:r>
        <w:r w:rsidRPr="000F23FB">
          <w:rPr>
            <w:rFonts w:ascii="黑体" w:eastAsia="黑体" w:hAnsi="黑体" w:cs="Times New Roman" w:hint="eastAsia"/>
            <w:color w:val="0000FF"/>
            <w:sz w:val="24"/>
            <w:szCs w:val="24"/>
            <w:u w:val="single"/>
          </w:rPr>
          <w:tab/>
          <w:t>5</w:t>
        </w:r>
      </w:hyperlink>
    </w:p>
    <w:p w:rsidR="000F23FB" w:rsidRPr="000F23FB" w:rsidRDefault="000F23FB" w:rsidP="000F23FB">
      <w:pPr>
        <w:autoSpaceDE w:val="0"/>
        <w:snapToGrid w:val="0"/>
        <w:spacing w:before="100" w:beforeAutospacing="1" w:after="100" w:afterAutospacing="1" w:line="384" w:lineRule="auto"/>
        <w:rPr>
          <w:rFonts w:ascii="黑体" w:eastAsia="黑体" w:hAnsi="黑体" w:cs="Times New Roman" w:hint="eastAsia"/>
          <w:sz w:val="24"/>
          <w:szCs w:val="24"/>
        </w:rPr>
      </w:pPr>
      <w:r w:rsidRPr="000F23FB">
        <w:rPr>
          <w:rFonts w:ascii="黑体" w:eastAsia="黑体" w:hAnsi="黑体" w:cs="Times New Roman" w:hint="eastAsia"/>
          <w:sz w:val="24"/>
          <w:szCs w:val="24"/>
        </w:rPr>
        <w:t>二、</w:t>
      </w:r>
      <w:hyperlink w:anchor="_Toc20841_" w:history="1">
        <w:r w:rsidRPr="000F23FB">
          <w:rPr>
            <w:rFonts w:ascii="黑体" w:eastAsia="黑体" w:hAnsi="黑体" w:cs="Times New Roman" w:hint="eastAsia"/>
            <w:color w:val="0000FF"/>
            <w:sz w:val="24"/>
            <w:szCs w:val="24"/>
            <w:u w:val="single"/>
          </w:rPr>
          <w:t>收入决算表</w:t>
        </w:r>
        <w:r w:rsidRPr="000F23FB">
          <w:rPr>
            <w:rFonts w:ascii="黑体" w:eastAsia="黑体" w:hAnsi="黑体" w:cs="Times New Roman" w:hint="eastAsia"/>
            <w:color w:val="0000FF"/>
            <w:sz w:val="24"/>
            <w:szCs w:val="24"/>
            <w:u w:val="single"/>
          </w:rPr>
          <w:tab/>
          <w:t>6</w:t>
        </w:r>
      </w:hyperlink>
    </w:p>
    <w:p w:rsidR="000F23FB" w:rsidRPr="000F23FB" w:rsidRDefault="000F23FB" w:rsidP="000F23FB">
      <w:pPr>
        <w:autoSpaceDE w:val="0"/>
        <w:snapToGrid w:val="0"/>
        <w:spacing w:before="100" w:beforeAutospacing="1" w:after="100" w:afterAutospacing="1" w:line="384" w:lineRule="auto"/>
        <w:rPr>
          <w:rFonts w:ascii="黑体" w:eastAsia="黑体" w:hAnsi="黑体" w:cs="Times New Roman" w:hint="eastAsia"/>
          <w:sz w:val="24"/>
          <w:szCs w:val="24"/>
        </w:rPr>
      </w:pPr>
      <w:r w:rsidRPr="000F23FB">
        <w:rPr>
          <w:rFonts w:ascii="黑体" w:eastAsia="黑体" w:hAnsi="黑体" w:cs="Times New Roman" w:hint="eastAsia"/>
          <w:sz w:val="24"/>
          <w:szCs w:val="24"/>
        </w:rPr>
        <w:t>三、</w:t>
      </w:r>
      <w:hyperlink w:anchor="_Toc24808_" w:history="1">
        <w:r w:rsidRPr="000F23FB">
          <w:rPr>
            <w:rFonts w:ascii="黑体" w:eastAsia="黑体" w:hAnsi="黑体" w:cs="Times New Roman" w:hint="eastAsia"/>
            <w:color w:val="0000FF"/>
            <w:sz w:val="24"/>
            <w:szCs w:val="24"/>
            <w:u w:val="single"/>
          </w:rPr>
          <w:t>支出决算表</w:t>
        </w:r>
        <w:r w:rsidRPr="000F23FB">
          <w:rPr>
            <w:rFonts w:ascii="黑体" w:eastAsia="黑体" w:hAnsi="黑体" w:cs="Times New Roman" w:hint="eastAsia"/>
            <w:color w:val="0000FF"/>
            <w:sz w:val="24"/>
            <w:szCs w:val="24"/>
            <w:u w:val="single"/>
          </w:rPr>
          <w:tab/>
          <w:t>7</w:t>
        </w:r>
      </w:hyperlink>
    </w:p>
    <w:p w:rsidR="000F23FB" w:rsidRPr="000F23FB" w:rsidRDefault="000F23FB" w:rsidP="000F23FB">
      <w:pPr>
        <w:autoSpaceDE w:val="0"/>
        <w:snapToGrid w:val="0"/>
        <w:spacing w:before="100" w:beforeAutospacing="1" w:after="100" w:afterAutospacing="1" w:line="384" w:lineRule="auto"/>
        <w:rPr>
          <w:rFonts w:ascii="黑体" w:eastAsia="黑体" w:hAnsi="黑体" w:cs="Times New Roman" w:hint="eastAsia"/>
          <w:sz w:val="24"/>
          <w:szCs w:val="24"/>
        </w:rPr>
      </w:pPr>
      <w:r w:rsidRPr="000F23FB">
        <w:rPr>
          <w:rFonts w:ascii="黑体" w:eastAsia="黑体" w:hAnsi="黑体" w:cs="Times New Roman" w:hint="eastAsia"/>
          <w:sz w:val="24"/>
          <w:szCs w:val="24"/>
        </w:rPr>
        <w:t>四、</w:t>
      </w:r>
      <w:hyperlink w:anchor="_Toc12563_" w:history="1">
        <w:r w:rsidRPr="000F23FB">
          <w:rPr>
            <w:rFonts w:ascii="黑体" w:eastAsia="黑体" w:hAnsi="黑体" w:cs="Times New Roman" w:hint="eastAsia"/>
            <w:color w:val="0000FF"/>
            <w:sz w:val="24"/>
            <w:szCs w:val="24"/>
            <w:u w:val="single"/>
          </w:rPr>
          <w:t>财政拨款收入支出决算总表</w:t>
        </w:r>
        <w:r w:rsidRPr="000F23FB">
          <w:rPr>
            <w:rFonts w:ascii="黑体" w:eastAsia="黑体" w:hAnsi="黑体" w:cs="Times New Roman" w:hint="eastAsia"/>
            <w:color w:val="0000FF"/>
            <w:sz w:val="24"/>
            <w:szCs w:val="24"/>
            <w:u w:val="single"/>
          </w:rPr>
          <w:tab/>
          <w:t>8</w:t>
        </w:r>
      </w:hyperlink>
    </w:p>
    <w:p w:rsidR="000F23FB" w:rsidRPr="000F23FB" w:rsidRDefault="000F23FB" w:rsidP="000F23FB">
      <w:pPr>
        <w:autoSpaceDE w:val="0"/>
        <w:snapToGrid w:val="0"/>
        <w:spacing w:before="100" w:beforeAutospacing="1" w:after="100" w:afterAutospacing="1" w:line="384" w:lineRule="auto"/>
        <w:rPr>
          <w:rFonts w:ascii="黑体" w:eastAsia="黑体" w:hAnsi="黑体" w:cs="Times New Roman" w:hint="eastAsia"/>
          <w:sz w:val="24"/>
          <w:szCs w:val="24"/>
        </w:rPr>
      </w:pPr>
      <w:r w:rsidRPr="000F23FB">
        <w:rPr>
          <w:rFonts w:ascii="黑体" w:eastAsia="黑体" w:hAnsi="黑体" w:cs="Times New Roman" w:hint="eastAsia"/>
          <w:sz w:val="24"/>
          <w:szCs w:val="24"/>
        </w:rPr>
        <w:t>五、</w:t>
      </w:r>
      <w:hyperlink w:anchor="_Toc7692_" w:history="1">
        <w:r w:rsidRPr="000F23FB">
          <w:rPr>
            <w:rFonts w:ascii="黑体" w:eastAsia="黑体" w:hAnsi="黑体" w:cs="Times New Roman" w:hint="eastAsia"/>
            <w:color w:val="0000FF"/>
            <w:sz w:val="24"/>
            <w:szCs w:val="24"/>
            <w:u w:val="single"/>
          </w:rPr>
          <w:t>一般公共预算财政拨款支出决算表</w:t>
        </w:r>
        <w:r w:rsidRPr="000F23FB">
          <w:rPr>
            <w:rFonts w:ascii="黑体" w:eastAsia="黑体" w:hAnsi="黑体" w:cs="Times New Roman" w:hint="eastAsia"/>
            <w:color w:val="0000FF"/>
            <w:sz w:val="24"/>
            <w:szCs w:val="24"/>
            <w:u w:val="single"/>
          </w:rPr>
          <w:tab/>
          <w:t>9</w:t>
        </w:r>
      </w:hyperlink>
    </w:p>
    <w:p w:rsidR="000F23FB" w:rsidRPr="000F23FB" w:rsidRDefault="000F23FB" w:rsidP="000F23FB">
      <w:pPr>
        <w:autoSpaceDE w:val="0"/>
        <w:snapToGrid w:val="0"/>
        <w:spacing w:before="100" w:beforeAutospacing="1" w:after="100" w:afterAutospacing="1" w:line="384" w:lineRule="auto"/>
        <w:rPr>
          <w:rFonts w:ascii="黑体" w:eastAsia="黑体" w:hAnsi="黑体" w:cs="Times New Roman" w:hint="eastAsia"/>
          <w:sz w:val="24"/>
          <w:szCs w:val="24"/>
        </w:rPr>
      </w:pPr>
      <w:r w:rsidRPr="000F23FB">
        <w:rPr>
          <w:rFonts w:ascii="黑体" w:eastAsia="黑体" w:hAnsi="黑体" w:cs="Times New Roman" w:hint="eastAsia"/>
          <w:sz w:val="24"/>
          <w:szCs w:val="24"/>
        </w:rPr>
        <w:t>六、</w:t>
      </w:r>
      <w:hyperlink w:anchor="_Toc29286_" w:history="1">
        <w:r w:rsidRPr="000F23FB">
          <w:rPr>
            <w:rFonts w:ascii="黑体" w:eastAsia="黑体" w:hAnsi="黑体" w:cs="Times New Roman" w:hint="eastAsia"/>
            <w:color w:val="0000FF"/>
            <w:sz w:val="24"/>
            <w:szCs w:val="24"/>
            <w:u w:val="single"/>
          </w:rPr>
          <w:t>一般公共预算财政拨款基本支出决算表</w:t>
        </w:r>
        <w:r w:rsidRPr="000F23FB">
          <w:rPr>
            <w:rFonts w:ascii="黑体" w:eastAsia="黑体" w:hAnsi="黑体" w:cs="Times New Roman" w:hint="eastAsia"/>
            <w:color w:val="0000FF"/>
            <w:sz w:val="24"/>
            <w:szCs w:val="24"/>
            <w:u w:val="single"/>
          </w:rPr>
          <w:tab/>
          <w:t>10</w:t>
        </w:r>
      </w:hyperlink>
    </w:p>
    <w:p w:rsidR="000F23FB" w:rsidRPr="000F23FB" w:rsidRDefault="000F23FB" w:rsidP="000F23FB">
      <w:pPr>
        <w:autoSpaceDE w:val="0"/>
        <w:snapToGrid w:val="0"/>
        <w:spacing w:before="100" w:beforeAutospacing="1" w:after="100" w:afterAutospacing="1" w:line="384" w:lineRule="auto"/>
        <w:rPr>
          <w:rFonts w:ascii="黑体" w:eastAsia="黑体" w:hAnsi="黑体" w:cs="Times New Roman" w:hint="eastAsia"/>
          <w:sz w:val="24"/>
          <w:szCs w:val="24"/>
        </w:rPr>
      </w:pPr>
      <w:r w:rsidRPr="000F23FB">
        <w:rPr>
          <w:rFonts w:ascii="黑体" w:eastAsia="黑体" w:hAnsi="黑体" w:cs="Times New Roman" w:hint="eastAsia"/>
          <w:sz w:val="24"/>
          <w:szCs w:val="24"/>
        </w:rPr>
        <w:t>七、</w:t>
      </w:r>
      <w:hyperlink w:anchor="_Toc18553_" w:history="1">
        <w:r w:rsidRPr="000F23FB">
          <w:rPr>
            <w:rFonts w:ascii="黑体" w:eastAsia="黑体" w:hAnsi="黑体" w:cs="Times New Roman" w:hint="eastAsia"/>
            <w:color w:val="0000FF"/>
            <w:sz w:val="24"/>
            <w:szCs w:val="24"/>
            <w:u w:val="single"/>
          </w:rPr>
          <w:t>一般公共预算财政拨款“三公”经费支出决算表</w:t>
        </w:r>
        <w:r w:rsidRPr="000F23FB">
          <w:rPr>
            <w:rFonts w:ascii="黑体" w:eastAsia="黑体" w:hAnsi="黑体" w:cs="Times New Roman" w:hint="eastAsia"/>
            <w:color w:val="0000FF"/>
            <w:sz w:val="24"/>
            <w:szCs w:val="24"/>
            <w:u w:val="single"/>
          </w:rPr>
          <w:tab/>
          <w:t>11</w:t>
        </w:r>
      </w:hyperlink>
    </w:p>
    <w:p w:rsidR="000F23FB" w:rsidRPr="000F23FB" w:rsidRDefault="000F23FB" w:rsidP="000F23FB">
      <w:pPr>
        <w:autoSpaceDE w:val="0"/>
        <w:snapToGrid w:val="0"/>
        <w:spacing w:before="100" w:beforeAutospacing="1" w:after="100" w:afterAutospacing="1" w:line="384" w:lineRule="auto"/>
        <w:rPr>
          <w:rFonts w:ascii="黑体" w:eastAsia="黑体" w:hAnsi="黑体" w:cs="Times New Roman" w:hint="eastAsia"/>
          <w:sz w:val="24"/>
          <w:szCs w:val="24"/>
        </w:rPr>
      </w:pPr>
      <w:r w:rsidRPr="000F23FB">
        <w:rPr>
          <w:rFonts w:ascii="黑体" w:eastAsia="黑体" w:hAnsi="黑体" w:cs="Times New Roman" w:hint="eastAsia"/>
          <w:sz w:val="24"/>
          <w:szCs w:val="24"/>
        </w:rPr>
        <w:t>八、</w:t>
      </w:r>
      <w:hyperlink w:anchor="_Toc7688_" w:history="1">
        <w:r w:rsidRPr="000F23FB">
          <w:rPr>
            <w:rFonts w:ascii="黑体" w:eastAsia="黑体" w:hAnsi="黑体" w:cs="Times New Roman" w:hint="eastAsia"/>
            <w:color w:val="0000FF"/>
            <w:sz w:val="24"/>
            <w:szCs w:val="24"/>
            <w:u w:val="single"/>
          </w:rPr>
          <w:t>政府性基金预算财政拨款收入支出决算表</w:t>
        </w:r>
        <w:r w:rsidRPr="000F23FB">
          <w:rPr>
            <w:rFonts w:ascii="黑体" w:eastAsia="黑体" w:hAnsi="黑体" w:cs="Times New Roman" w:hint="eastAsia"/>
            <w:color w:val="0000FF"/>
            <w:sz w:val="24"/>
            <w:szCs w:val="24"/>
            <w:u w:val="single"/>
          </w:rPr>
          <w:tab/>
          <w:t>11</w:t>
        </w:r>
      </w:hyperlink>
    </w:p>
    <w:p w:rsidR="000F23FB" w:rsidRPr="000F23FB" w:rsidRDefault="000F23FB" w:rsidP="000F23FB">
      <w:pPr>
        <w:autoSpaceDE w:val="0"/>
        <w:snapToGrid w:val="0"/>
        <w:spacing w:line="384" w:lineRule="auto"/>
        <w:rPr>
          <w:rFonts w:ascii="黑体" w:eastAsia="黑体" w:hAnsi="黑体" w:cs="Times New Roman" w:hint="eastAsia"/>
          <w:sz w:val="32"/>
          <w:szCs w:val="32"/>
        </w:rPr>
      </w:pPr>
      <w:hyperlink w:anchor="_Toc25203_" w:history="1">
        <w:r w:rsidRPr="000F23FB">
          <w:rPr>
            <w:rFonts w:ascii="黑体" w:eastAsia="黑体" w:hAnsi="黑体" w:cs="Times New Roman" w:hint="eastAsia"/>
            <w:color w:val="0000FF"/>
            <w:sz w:val="32"/>
            <w:szCs w:val="32"/>
            <w:u w:val="single"/>
          </w:rPr>
          <w:t>第三部分  2018年度部门决算情况说明</w:t>
        </w:r>
        <w:r w:rsidRPr="000F23FB">
          <w:rPr>
            <w:rFonts w:ascii="黑体" w:eastAsia="黑体" w:hAnsi="黑体" w:cs="Times New Roman" w:hint="eastAsia"/>
            <w:color w:val="0000FF"/>
            <w:sz w:val="24"/>
            <w:szCs w:val="24"/>
            <w:u w:val="single"/>
          </w:rPr>
          <w:tab/>
          <w:t>12</w:t>
        </w:r>
      </w:hyperlink>
    </w:p>
    <w:p w:rsidR="000F23FB" w:rsidRPr="000F23FB" w:rsidRDefault="000F23FB" w:rsidP="000F23FB">
      <w:pPr>
        <w:autoSpaceDE w:val="0"/>
        <w:snapToGrid w:val="0"/>
        <w:spacing w:before="100" w:beforeAutospacing="1" w:after="100" w:afterAutospacing="1" w:line="384" w:lineRule="auto"/>
        <w:rPr>
          <w:rFonts w:ascii="黑体" w:eastAsia="黑体" w:hAnsi="黑体" w:cs="Times New Roman" w:hint="eastAsia"/>
          <w:sz w:val="24"/>
          <w:szCs w:val="24"/>
        </w:rPr>
      </w:pPr>
      <w:hyperlink w:anchor="_Toc8349_" w:history="1">
        <w:r w:rsidRPr="000F23FB">
          <w:rPr>
            <w:rFonts w:ascii="黑体" w:eastAsia="黑体" w:hAnsi="黑体" w:cs="Times New Roman" w:hint="eastAsia"/>
            <w:color w:val="0000FF"/>
            <w:sz w:val="24"/>
            <w:szCs w:val="24"/>
            <w:u w:val="single"/>
          </w:rPr>
          <w:t>一、收入支出总体情况说明</w:t>
        </w:r>
        <w:r w:rsidRPr="000F23FB">
          <w:rPr>
            <w:rFonts w:ascii="黑体" w:eastAsia="黑体" w:hAnsi="黑体" w:cs="Times New Roman" w:hint="eastAsia"/>
            <w:color w:val="0000FF"/>
            <w:sz w:val="24"/>
            <w:szCs w:val="24"/>
            <w:u w:val="single"/>
          </w:rPr>
          <w:tab/>
          <w:t>12</w:t>
        </w:r>
      </w:hyperlink>
    </w:p>
    <w:p w:rsidR="000F23FB" w:rsidRPr="000F23FB" w:rsidRDefault="000F23FB" w:rsidP="000F23FB">
      <w:pPr>
        <w:autoSpaceDE w:val="0"/>
        <w:snapToGrid w:val="0"/>
        <w:spacing w:before="100" w:beforeAutospacing="1" w:after="100" w:afterAutospacing="1" w:line="384" w:lineRule="auto"/>
        <w:rPr>
          <w:rFonts w:ascii="黑体" w:eastAsia="黑体" w:hAnsi="黑体" w:cs="Times New Roman" w:hint="eastAsia"/>
          <w:sz w:val="24"/>
          <w:szCs w:val="24"/>
        </w:rPr>
      </w:pPr>
      <w:hyperlink w:anchor="_Toc29645_" w:history="1">
        <w:r w:rsidRPr="000F23FB">
          <w:rPr>
            <w:rFonts w:ascii="黑体" w:eastAsia="黑体" w:hAnsi="黑体" w:cs="Times New Roman" w:hint="eastAsia"/>
            <w:color w:val="0000FF"/>
            <w:sz w:val="24"/>
            <w:szCs w:val="24"/>
            <w:u w:val="single"/>
          </w:rPr>
          <w:t>二、财政拨款收入支出情况说明</w:t>
        </w:r>
        <w:r w:rsidRPr="000F23FB">
          <w:rPr>
            <w:rFonts w:ascii="黑体" w:eastAsia="黑体" w:hAnsi="黑体" w:cs="Times New Roman" w:hint="eastAsia"/>
            <w:color w:val="0000FF"/>
            <w:sz w:val="24"/>
            <w:szCs w:val="24"/>
            <w:u w:val="single"/>
          </w:rPr>
          <w:tab/>
          <w:t>13</w:t>
        </w:r>
      </w:hyperlink>
    </w:p>
    <w:p w:rsidR="000F23FB" w:rsidRPr="000F23FB" w:rsidRDefault="000F23FB" w:rsidP="000F23FB">
      <w:pPr>
        <w:autoSpaceDE w:val="0"/>
        <w:snapToGrid w:val="0"/>
        <w:spacing w:before="100" w:beforeAutospacing="1" w:after="100" w:afterAutospacing="1" w:line="384" w:lineRule="auto"/>
        <w:rPr>
          <w:rFonts w:ascii="黑体" w:eastAsia="黑体" w:hAnsi="黑体" w:cs="Times New Roman" w:hint="eastAsia"/>
          <w:sz w:val="24"/>
          <w:szCs w:val="24"/>
        </w:rPr>
      </w:pPr>
      <w:hyperlink w:anchor="_Toc354_" w:history="1">
        <w:r w:rsidRPr="000F23FB">
          <w:rPr>
            <w:rFonts w:ascii="黑体" w:eastAsia="黑体" w:hAnsi="黑体" w:cs="Times New Roman" w:hint="eastAsia"/>
            <w:color w:val="0000FF"/>
            <w:sz w:val="24"/>
            <w:szCs w:val="24"/>
            <w:u w:val="single"/>
          </w:rPr>
          <w:t>三、政府性基金预算财政拨款收入支出情况说明</w:t>
        </w:r>
        <w:r w:rsidRPr="000F23FB">
          <w:rPr>
            <w:rFonts w:ascii="黑体" w:eastAsia="黑体" w:hAnsi="黑体" w:cs="Times New Roman" w:hint="eastAsia"/>
            <w:color w:val="0000FF"/>
            <w:sz w:val="24"/>
            <w:szCs w:val="24"/>
            <w:u w:val="single"/>
          </w:rPr>
          <w:tab/>
          <w:t>14</w:t>
        </w:r>
      </w:hyperlink>
    </w:p>
    <w:p w:rsidR="000F23FB" w:rsidRPr="000F23FB" w:rsidRDefault="000F23FB" w:rsidP="000F23FB">
      <w:pPr>
        <w:autoSpaceDE w:val="0"/>
        <w:snapToGrid w:val="0"/>
        <w:spacing w:before="100" w:beforeAutospacing="1" w:after="100" w:afterAutospacing="1" w:line="384" w:lineRule="auto"/>
        <w:rPr>
          <w:rFonts w:ascii="黑体" w:eastAsia="黑体" w:hAnsi="黑体" w:cs="Times New Roman" w:hint="eastAsia"/>
          <w:sz w:val="24"/>
          <w:szCs w:val="24"/>
        </w:rPr>
      </w:pPr>
      <w:hyperlink w:anchor="_Toc29347_" w:history="1">
        <w:r w:rsidRPr="000F23FB">
          <w:rPr>
            <w:rFonts w:ascii="黑体" w:eastAsia="黑体" w:hAnsi="黑体" w:cs="Times New Roman" w:hint="eastAsia"/>
            <w:color w:val="0000FF"/>
            <w:sz w:val="24"/>
            <w:szCs w:val="24"/>
            <w:u w:val="single"/>
          </w:rPr>
          <w:t>四、一般公共预算财政拨款“三公”经费支出情况说明</w:t>
        </w:r>
        <w:r w:rsidRPr="000F23FB">
          <w:rPr>
            <w:rFonts w:ascii="黑体" w:eastAsia="黑体" w:hAnsi="黑体" w:cs="Times New Roman" w:hint="eastAsia"/>
            <w:color w:val="0000FF"/>
            <w:sz w:val="24"/>
            <w:szCs w:val="24"/>
            <w:u w:val="single"/>
          </w:rPr>
          <w:tab/>
          <w:t>14</w:t>
        </w:r>
      </w:hyperlink>
    </w:p>
    <w:p w:rsidR="000F23FB" w:rsidRPr="000F23FB" w:rsidRDefault="000F23FB" w:rsidP="000F23FB">
      <w:pPr>
        <w:autoSpaceDE w:val="0"/>
        <w:snapToGrid w:val="0"/>
        <w:spacing w:before="100" w:beforeAutospacing="1" w:after="100" w:afterAutospacing="1" w:line="384" w:lineRule="auto"/>
        <w:rPr>
          <w:rFonts w:ascii="黑体" w:eastAsia="黑体" w:hAnsi="黑体" w:cs="Times New Roman" w:hint="eastAsia"/>
          <w:sz w:val="24"/>
          <w:szCs w:val="24"/>
        </w:rPr>
      </w:pPr>
      <w:hyperlink w:anchor="_Toc655_" w:history="1">
        <w:r w:rsidRPr="000F23FB">
          <w:rPr>
            <w:rFonts w:ascii="黑体" w:eastAsia="黑体" w:hAnsi="黑体" w:cs="Times New Roman" w:hint="eastAsia"/>
            <w:color w:val="0000FF"/>
            <w:sz w:val="24"/>
            <w:szCs w:val="24"/>
            <w:u w:val="single"/>
          </w:rPr>
          <w:t>五、机关运行经费支出情况说明</w:t>
        </w:r>
        <w:r w:rsidRPr="000F23FB">
          <w:rPr>
            <w:rFonts w:ascii="黑体" w:eastAsia="黑体" w:hAnsi="黑体" w:cs="Times New Roman" w:hint="eastAsia"/>
            <w:color w:val="0000FF"/>
            <w:sz w:val="24"/>
            <w:szCs w:val="24"/>
            <w:u w:val="single"/>
          </w:rPr>
          <w:tab/>
          <w:t>15</w:t>
        </w:r>
      </w:hyperlink>
    </w:p>
    <w:p w:rsidR="000F23FB" w:rsidRPr="000F23FB" w:rsidRDefault="000F23FB" w:rsidP="000F23FB">
      <w:pPr>
        <w:autoSpaceDE w:val="0"/>
        <w:snapToGrid w:val="0"/>
        <w:spacing w:before="100" w:beforeAutospacing="1" w:after="100" w:afterAutospacing="1" w:line="384" w:lineRule="auto"/>
        <w:rPr>
          <w:rFonts w:ascii="黑体" w:eastAsia="黑体" w:hAnsi="黑体" w:cs="Times New Roman" w:hint="eastAsia"/>
          <w:sz w:val="24"/>
          <w:szCs w:val="24"/>
        </w:rPr>
      </w:pPr>
      <w:hyperlink w:anchor="_Toc21170_" w:history="1">
        <w:r w:rsidRPr="000F23FB">
          <w:rPr>
            <w:rFonts w:ascii="黑体" w:eastAsia="黑体" w:hAnsi="黑体" w:cs="Times New Roman" w:hint="eastAsia"/>
            <w:color w:val="0000FF"/>
            <w:sz w:val="24"/>
            <w:szCs w:val="24"/>
            <w:u w:val="single"/>
          </w:rPr>
          <w:t>六、国有资产占用情况说明</w:t>
        </w:r>
        <w:r w:rsidRPr="000F23FB">
          <w:rPr>
            <w:rFonts w:ascii="黑体" w:eastAsia="黑体" w:hAnsi="黑体" w:cs="Times New Roman" w:hint="eastAsia"/>
            <w:color w:val="0000FF"/>
            <w:sz w:val="24"/>
            <w:szCs w:val="24"/>
            <w:u w:val="single"/>
          </w:rPr>
          <w:tab/>
          <w:t>15</w:t>
        </w:r>
      </w:hyperlink>
    </w:p>
    <w:p w:rsidR="000F23FB" w:rsidRPr="000F23FB" w:rsidRDefault="000F23FB" w:rsidP="000F23FB">
      <w:pPr>
        <w:autoSpaceDE w:val="0"/>
        <w:snapToGrid w:val="0"/>
        <w:spacing w:before="100" w:beforeAutospacing="1" w:after="100" w:afterAutospacing="1" w:line="384" w:lineRule="auto"/>
        <w:rPr>
          <w:rFonts w:ascii="黑体" w:eastAsia="黑体" w:hAnsi="黑体" w:cs="Times New Roman" w:hint="eastAsia"/>
          <w:sz w:val="24"/>
          <w:szCs w:val="24"/>
        </w:rPr>
      </w:pPr>
      <w:hyperlink w:anchor="_Toc8647_" w:history="1">
        <w:r w:rsidRPr="000F23FB">
          <w:rPr>
            <w:rFonts w:ascii="黑体" w:eastAsia="黑体" w:hAnsi="黑体" w:cs="Times New Roman" w:hint="eastAsia"/>
            <w:color w:val="0000FF"/>
            <w:sz w:val="24"/>
            <w:szCs w:val="24"/>
            <w:u w:val="single"/>
          </w:rPr>
          <w:t>七、政府采购支出情况说明</w:t>
        </w:r>
        <w:r w:rsidRPr="000F23FB">
          <w:rPr>
            <w:rFonts w:ascii="黑体" w:eastAsia="黑体" w:hAnsi="黑体" w:cs="Times New Roman" w:hint="eastAsia"/>
            <w:color w:val="0000FF"/>
            <w:sz w:val="24"/>
            <w:szCs w:val="24"/>
            <w:u w:val="single"/>
          </w:rPr>
          <w:tab/>
          <w:t>15</w:t>
        </w:r>
      </w:hyperlink>
    </w:p>
    <w:p w:rsidR="000F23FB" w:rsidRPr="000F23FB" w:rsidRDefault="000F23FB" w:rsidP="000F23FB">
      <w:pPr>
        <w:autoSpaceDE w:val="0"/>
        <w:snapToGrid w:val="0"/>
        <w:spacing w:before="100" w:beforeAutospacing="1" w:after="100" w:afterAutospacing="1" w:line="384" w:lineRule="auto"/>
        <w:rPr>
          <w:rFonts w:ascii="黑体" w:eastAsia="黑体" w:hAnsi="黑体" w:cs="Times New Roman" w:hint="eastAsia"/>
          <w:sz w:val="24"/>
          <w:szCs w:val="24"/>
        </w:rPr>
      </w:pPr>
      <w:hyperlink w:anchor="_Toc30844_" w:history="1">
        <w:r w:rsidRPr="000F23FB">
          <w:rPr>
            <w:rFonts w:ascii="黑体" w:eastAsia="黑体" w:hAnsi="黑体" w:cs="Times New Roman" w:hint="eastAsia"/>
            <w:color w:val="0000FF"/>
            <w:sz w:val="24"/>
            <w:szCs w:val="24"/>
            <w:u w:val="single"/>
          </w:rPr>
          <w:t>八、预算绩效情况说明</w:t>
        </w:r>
        <w:r w:rsidRPr="000F23FB">
          <w:rPr>
            <w:rFonts w:ascii="黑体" w:eastAsia="黑体" w:hAnsi="黑体" w:cs="Times New Roman" w:hint="eastAsia"/>
            <w:color w:val="0000FF"/>
            <w:sz w:val="24"/>
            <w:szCs w:val="24"/>
            <w:u w:val="single"/>
          </w:rPr>
          <w:tab/>
          <w:t>16</w:t>
        </w:r>
      </w:hyperlink>
    </w:p>
    <w:p w:rsidR="000F23FB" w:rsidRPr="000F23FB" w:rsidRDefault="000F23FB" w:rsidP="000F23FB">
      <w:pPr>
        <w:autoSpaceDE w:val="0"/>
        <w:snapToGrid w:val="0"/>
        <w:spacing w:line="384" w:lineRule="auto"/>
        <w:rPr>
          <w:rFonts w:ascii="黑体" w:eastAsia="黑体" w:hAnsi="黑体" w:cs="Times New Roman" w:hint="eastAsia"/>
          <w:sz w:val="32"/>
          <w:szCs w:val="32"/>
        </w:rPr>
      </w:pPr>
      <w:hyperlink w:anchor="_Toc24874_" w:history="1">
        <w:r w:rsidRPr="000F23FB">
          <w:rPr>
            <w:rFonts w:ascii="黑体" w:eastAsia="黑体" w:hAnsi="黑体" w:cs="Times New Roman" w:hint="eastAsia"/>
            <w:color w:val="0000FF"/>
            <w:sz w:val="32"/>
            <w:szCs w:val="32"/>
            <w:u w:val="single"/>
          </w:rPr>
          <w:t>第四部分  名词解释</w:t>
        </w:r>
        <w:r w:rsidRPr="000F23FB">
          <w:rPr>
            <w:rFonts w:ascii="黑体" w:eastAsia="黑体" w:hAnsi="黑体" w:cs="Times New Roman" w:hint="eastAsia"/>
            <w:color w:val="0000FF"/>
            <w:sz w:val="24"/>
            <w:szCs w:val="24"/>
            <w:u w:val="single"/>
          </w:rPr>
          <w:tab/>
          <w:t>16</w:t>
        </w:r>
      </w:hyperlink>
    </w:p>
    <w:p w:rsidR="000F23FB" w:rsidRPr="000F23FB" w:rsidRDefault="000F23FB" w:rsidP="000F23FB">
      <w:pPr>
        <w:widowControl/>
        <w:jc w:val="left"/>
        <w:rPr>
          <w:rFonts w:ascii="华文中宋" w:eastAsia="华文中宋" w:hAnsi="华文中宋" w:cs="宋体"/>
          <w:sz w:val="44"/>
          <w:szCs w:val="44"/>
        </w:rPr>
        <w:sectPr w:rsidR="000F23FB" w:rsidRPr="000F23FB">
          <w:pgSz w:w="11906" w:h="16838"/>
          <w:pgMar w:top="1440" w:right="1803" w:bottom="1440" w:left="1803" w:header="720" w:footer="720" w:gutter="0"/>
          <w:cols w:space="720"/>
          <w:docGrid w:type="lines" w:linePitch="319"/>
        </w:sectPr>
      </w:pPr>
    </w:p>
    <w:p w:rsidR="000F23FB" w:rsidRPr="000F23FB" w:rsidRDefault="000F23FB" w:rsidP="000F23FB">
      <w:pPr>
        <w:autoSpaceDE w:val="0"/>
        <w:snapToGrid w:val="0"/>
        <w:spacing w:line="500" w:lineRule="exact"/>
        <w:jc w:val="center"/>
        <w:rPr>
          <w:rFonts w:ascii="华文中宋" w:eastAsia="华文中宋" w:hAnsi="华文中宋" w:cs="Times New Roman" w:hint="eastAsia"/>
          <w:sz w:val="44"/>
          <w:szCs w:val="44"/>
        </w:rPr>
      </w:pPr>
      <w:r w:rsidRPr="000F23FB">
        <w:rPr>
          <w:rFonts w:ascii="华文中宋" w:eastAsia="华文中宋" w:hAnsi="华文中宋" w:cs="Times New Roman" w:hint="eastAsia"/>
          <w:sz w:val="44"/>
          <w:szCs w:val="44"/>
        </w:rPr>
        <w:lastRenderedPageBreak/>
        <w:t>双鸭山市住房公积金管理中心2018年度部门</w:t>
      </w:r>
      <w:bookmarkStart w:id="0" w:name="_Toc2035_WPSOffice_Level1"/>
      <w:bookmarkEnd w:id="0"/>
      <w:r w:rsidRPr="000F23FB">
        <w:rPr>
          <w:rFonts w:ascii="华文中宋" w:eastAsia="华文中宋" w:hAnsi="华文中宋" w:cs="Times New Roman" w:hint="eastAsia"/>
          <w:sz w:val="44"/>
          <w:szCs w:val="44"/>
        </w:rPr>
        <w:t>决算</w:t>
      </w:r>
    </w:p>
    <w:p w:rsidR="000F23FB" w:rsidRPr="000F23FB" w:rsidRDefault="000F23FB" w:rsidP="000F23FB">
      <w:pPr>
        <w:autoSpaceDE w:val="0"/>
        <w:snapToGrid w:val="0"/>
        <w:spacing w:line="560" w:lineRule="exact"/>
        <w:jc w:val="center"/>
        <w:rPr>
          <w:rFonts w:ascii="华文中宋" w:eastAsia="华文中宋" w:hAnsi="华文中宋" w:cs="Times New Roman" w:hint="eastAsia"/>
          <w:sz w:val="44"/>
          <w:szCs w:val="44"/>
        </w:rPr>
      </w:pPr>
      <w:r w:rsidRPr="000F23FB">
        <w:rPr>
          <w:rFonts w:ascii="华文中宋" w:eastAsia="华文中宋" w:hAnsi="华文中宋" w:cs="Times New Roman" w:hint="eastAsia"/>
          <w:sz w:val="44"/>
          <w:szCs w:val="44"/>
        </w:rPr>
        <w:t>信息及有关情况说明</w:t>
      </w:r>
    </w:p>
    <w:p w:rsidR="000F23FB" w:rsidRPr="000F23FB" w:rsidRDefault="000F23FB" w:rsidP="000F23FB">
      <w:pPr>
        <w:autoSpaceDE w:val="0"/>
        <w:snapToGrid w:val="0"/>
        <w:spacing w:line="560" w:lineRule="exact"/>
        <w:jc w:val="center"/>
        <w:rPr>
          <w:rFonts w:ascii="华文中宋" w:eastAsia="华文中宋" w:hAnsi="华文中宋" w:cs="Times New Roman" w:hint="eastAsia"/>
          <w:b/>
          <w:bCs/>
          <w:sz w:val="44"/>
          <w:szCs w:val="44"/>
        </w:rPr>
      </w:pPr>
      <w:r w:rsidRPr="000F23FB">
        <w:rPr>
          <w:rFonts w:ascii="华文中宋" w:eastAsia="华文中宋" w:hAnsi="华文中宋" w:cs="Times New Roman" w:hint="eastAsia"/>
          <w:b/>
          <w:bCs/>
          <w:sz w:val="44"/>
          <w:szCs w:val="44"/>
        </w:rPr>
        <w:t xml:space="preserve"> </w:t>
      </w:r>
    </w:p>
    <w:p w:rsidR="000F23FB" w:rsidRPr="000F23FB" w:rsidRDefault="000F23FB" w:rsidP="000F23FB">
      <w:pPr>
        <w:keepNext/>
        <w:autoSpaceDE w:val="0"/>
        <w:spacing w:line="560" w:lineRule="exact"/>
        <w:jc w:val="center"/>
        <w:outlineLvl w:val="0"/>
        <w:rPr>
          <w:rFonts w:ascii="宋体" w:eastAsia="宋体" w:hAnsi="宋体" w:cs="Times New Roman" w:hint="eastAsia"/>
          <w:b/>
          <w:bCs/>
          <w:kern w:val="44"/>
          <w:sz w:val="44"/>
          <w:szCs w:val="44"/>
        </w:rPr>
      </w:pPr>
      <w:bookmarkStart w:id="1" w:name="_Toc28189_WPSOffice_Level1"/>
      <w:bookmarkStart w:id="2" w:name="_Toc6870"/>
      <w:bookmarkStart w:id="3" w:name="_Toc20078"/>
      <w:bookmarkEnd w:id="1"/>
      <w:bookmarkEnd w:id="2"/>
      <w:r w:rsidRPr="000F23FB">
        <w:rPr>
          <w:rFonts w:ascii="宋体" w:eastAsia="宋体" w:hAnsi="宋体" w:cs="Times New Roman" w:hint="eastAsia"/>
          <w:b/>
          <w:bCs/>
          <w:kern w:val="44"/>
          <w:sz w:val="44"/>
          <w:szCs w:val="44"/>
        </w:rPr>
        <w:t>第一部分部门概况</w:t>
      </w:r>
      <w:bookmarkEnd w:id="3"/>
    </w:p>
    <w:p w:rsidR="000F23FB" w:rsidRPr="000F23FB" w:rsidRDefault="000F23FB" w:rsidP="000F23FB">
      <w:pPr>
        <w:keepNext/>
        <w:autoSpaceDE w:val="0"/>
        <w:spacing w:line="560" w:lineRule="exact"/>
        <w:outlineLvl w:val="1"/>
        <w:rPr>
          <w:rFonts w:ascii="黑体" w:eastAsia="黑体" w:hAnsi="黑体" w:cs="Arial" w:hint="eastAsia"/>
          <w:sz w:val="32"/>
          <w:szCs w:val="32"/>
        </w:rPr>
      </w:pPr>
      <w:bookmarkStart w:id="4" w:name="_Toc19891"/>
      <w:bookmarkStart w:id="5" w:name="_Toc31258"/>
      <w:bookmarkEnd w:id="4"/>
      <w:r w:rsidRPr="000F23FB">
        <w:rPr>
          <w:rFonts w:ascii="黑体" w:eastAsia="黑体" w:hAnsi="黑体" w:cs="Arial" w:hint="eastAsia"/>
          <w:sz w:val="32"/>
          <w:szCs w:val="32"/>
        </w:rPr>
        <w:t>一、部门职责</w:t>
      </w:r>
      <w:bookmarkEnd w:id="5"/>
    </w:p>
    <w:p w:rsidR="000F23FB" w:rsidRPr="000F23FB" w:rsidRDefault="000F23FB" w:rsidP="000F23FB">
      <w:pPr>
        <w:spacing w:line="560" w:lineRule="exact"/>
        <w:rPr>
          <w:rFonts w:ascii="仿宋_GB2312" w:eastAsia="宋体" w:hAnsi="宋体" w:cs="Times New Roman" w:hint="eastAsia"/>
          <w:sz w:val="32"/>
          <w:szCs w:val="32"/>
        </w:rPr>
      </w:pPr>
      <w:r w:rsidRPr="000F23FB">
        <w:rPr>
          <w:rFonts w:ascii="仿宋_GB2312" w:eastAsia="宋体" w:hAnsi="仿宋_GB2312" w:cs="Times New Roman"/>
          <w:sz w:val="32"/>
          <w:szCs w:val="32"/>
        </w:rPr>
        <w:t>（一）</w:t>
      </w:r>
      <w:r w:rsidRPr="000F23FB">
        <w:rPr>
          <w:rFonts w:ascii="仿宋_GB2312" w:eastAsia="宋体" w:hAnsi="仿宋_GB2312" w:cs="Times New Roman"/>
          <w:color w:val="333333"/>
          <w:sz w:val="32"/>
          <w:szCs w:val="32"/>
          <w:shd w:val="clear" w:color="auto" w:fill="FFFFFF"/>
        </w:rPr>
        <w:t>市住房公积金管理中心负责全市行政辖区内的住房公积金归集、核算、支取、信贷管理等业务。</w:t>
      </w:r>
    </w:p>
    <w:p w:rsidR="000F23FB" w:rsidRPr="000F23FB" w:rsidRDefault="000F23FB" w:rsidP="000F23FB">
      <w:pPr>
        <w:spacing w:line="560" w:lineRule="exact"/>
        <w:rPr>
          <w:rFonts w:ascii="仿宋_GB2312" w:eastAsia="宋体" w:hAnsi="宋体" w:cs="Times New Roman"/>
          <w:sz w:val="32"/>
          <w:szCs w:val="32"/>
        </w:rPr>
      </w:pPr>
      <w:r w:rsidRPr="000F23FB">
        <w:rPr>
          <w:rFonts w:ascii="仿宋_GB2312" w:eastAsia="宋体" w:hAnsi="仿宋_GB2312" w:cs="Times New Roman"/>
          <w:sz w:val="32"/>
          <w:szCs w:val="32"/>
        </w:rPr>
        <w:t>（二）</w:t>
      </w:r>
      <w:r w:rsidRPr="000F23FB">
        <w:rPr>
          <w:rFonts w:ascii="仿宋_GB2312" w:eastAsia="宋体" w:hAnsi="仿宋_GB2312" w:cs="Times New Roman"/>
          <w:color w:val="333333"/>
          <w:sz w:val="32"/>
          <w:szCs w:val="32"/>
          <w:shd w:val="clear" w:color="auto" w:fill="FFFFFF"/>
        </w:rPr>
        <w:t>贯彻落实国家《住房公积金管理条例》及有关政策、法规，研究制定地方性住房公积金管理的具体实施办法和配套文件。</w:t>
      </w:r>
    </w:p>
    <w:p w:rsidR="000F23FB" w:rsidRPr="000F23FB" w:rsidRDefault="000F23FB" w:rsidP="000F23FB">
      <w:pPr>
        <w:widowControl/>
        <w:spacing w:after="230"/>
        <w:jc w:val="left"/>
        <w:rPr>
          <w:rFonts w:ascii="仿宋_GB2312" w:eastAsia="宋体" w:hAnsi="微软雅黑" w:cs="宋体"/>
          <w:color w:val="333333"/>
          <w:kern w:val="0"/>
          <w:sz w:val="32"/>
          <w:szCs w:val="32"/>
        </w:rPr>
      </w:pPr>
      <w:r w:rsidRPr="000F23FB">
        <w:rPr>
          <w:rFonts w:ascii="仿宋_GB2312" w:eastAsia="宋体" w:hAnsi="仿宋_GB2312" w:cs="Times New Roman"/>
          <w:sz w:val="32"/>
          <w:szCs w:val="32"/>
        </w:rPr>
        <w:t>（三）</w:t>
      </w:r>
      <w:r w:rsidRPr="000F23FB">
        <w:rPr>
          <w:rFonts w:ascii="仿宋_GB2312" w:eastAsia="宋体" w:hAnsi="仿宋_GB2312" w:cs="Times New Roman"/>
          <w:color w:val="333333"/>
          <w:sz w:val="32"/>
          <w:szCs w:val="32"/>
          <w:shd w:val="clear" w:color="auto" w:fill="FFFFFF"/>
        </w:rPr>
        <w:t>实行</w:t>
      </w:r>
      <w:r w:rsidRPr="000F23FB">
        <w:rPr>
          <w:rFonts w:ascii="仿宋_GB2312" w:eastAsia="宋体" w:hAnsi="微软雅黑" w:cs="Times New Roman"/>
          <w:color w:val="333333"/>
          <w:sz w:val="32"/>
          <w:szCs w:val="32"/>
          <w:shd w:val="clear" w:color="auto" w:fill="FFFFFF"/>
        </w:rPr>
        <w:t>“</w:t>
      </w:r>
      <w:r w:rsidRPr="000F23FB">
        <w:rPr>
          <w:rFonts w:ascii="仿宋_GB2312" w:eastAsia="宋体" w:hAnsi="微软雅黑" w:cs="Times New Roman"/>
          <w:color w:val="333333"/>
          <w:sz w:val="32"/>
          <w:szCs w:val="32"/>
          <w:shd w:val="clear" w:color="auto" w:fill="FFFFFF"/>
        </w:rPr>
        <w:t>统一决策、统一管理、统一制度、统一核算</w:t>
      </w:r>
      <w:r w:rsidRPr="000F23FB">
        <w:rPr>
          <w:rFonts w:ascii="仿宋_GB2312" w:eastAsia="宋体" w:hAnsi="微软雅黑" w:cs="Times New Roman"/>
          <w:color w:val="333333"/>
          <w:sz w:val="32"/>
          <w:szCs w:val="32"/>
          <w:shd w:val="clear" w:color="auto" w:fill="FFFFFF"/>
        </w:rPr>
        <w:t>”</w:t>
      </w:r>
      <w:r w:rsidRPr="000F23FB">
        <w:rPr>
          <w:rFonts w:ascii="仿宋_GB2312" w:eastAsia="宋体" w:hAnsi="微软雅黑" w:cs="Times New Roman"/>
          <w:color w:val="333333"/>
          <w:sz w:val="32"/>
          <w:szCs w:val="32"/>
          <w:shd w:val="clear" w:color="auto" w:fill="FFFFFF"/>
        </w:rPr>
        <w:t>的管理机制，依法保护住房公积金缴存职工的合法权益，确保资金安全使用、保值增值。</w:t>
      </w:r>
    </w:p>
    <w:p w:rsidR="000F23FB" w:rsidRPr="000F23FB" w:rsidRDefault="000F23FB" w:rsidP="000F23FB">
      <w:pPr>
        <w:keepNext/>
        <w:autoSpaceDE w:val="0"/>
        <w:spacing w:line="560" w:lineRule="exact"/>
        <w:outlineLvl w:val="1"/>
        <w:rPr>
          <w:rFonts w:ascii="黑体" w:eastAsia="黑体" w:hAnsi="黑体" w:cs="Arial"/>
          <w:sz w:val="32"/>
          <w:szCs w:val="32"/>
        </w:rPr>
      </w:pPr>
      <w:bookmarkStart w:id="6" w:name="_Toc21066"/>
      <w:bookmarkStart w:id="7" w:name="_Toc29536"/>
      <w:bookmarkEnd w:id="6"/>
      <w:r w:rsidRPr="000F23FB">
        <w:rPr>
          <w:rFonts w:ascii="黑体" w:eastAsia="黑体" w:hAnsi="黑体" w:cs="Arial" w:hint="eastAsia"/>
          <w:sz w:val="32"/>
          <w:szCs w:val="32"/>
        </w:rPr>
        <w:t>二、机构设置</w:t>
      </w:r>
      <w:bookmarkEnd w:id="7"/>
    </w:p>
    <w:p w:rsidR="000F23FB" w:rsidRPr="000F23FB" w:rsidRDefault="000F23FB" w:rsidP="000F23FB">
      <w:pPr>
        <w:widowControl/>
        <w:spacing w:line="315" w:lineRule="atLeast"/>
        <w:rPr>
          <w:rFonts w:ascii="仿宋_GB2312" w:eastAsia="宋体" w:hAnsi="仿宋_GB2312" w:cs="Times New Roman" w:hint="eastAsia"/>
          <w:sz w:val="32"/>
          <w:szCs w:val="32"/>
        </w:rPr>
      </w:pPr>
      <w:r w:rsidRPr="000F23FB">
        <w:rPr>
          <w:rFonts w:ascii="仿宋_GB2312" w:eastAsia="宋体" w:hAnsi="仿宋_GB2312" w:cs="Times New Roman"/>
          <w:sz w:val="32"/>
          <w:szCs w:val="32"/>
        </w:rPr>
        <w:t>根据上述职责，双鸭山市住房公积金管理中心内设</w:t>
      </w:r>
      <w:r w:rsidRPr="000F23FB">
        <w:rPr>
          <w:rFonts w:ascii="仿宋_GB2312" w:eastAsia="宋体" w:hAnsi="微软雅黑" w:cs="Times New Roman"/>
          <w:color w:val="333333"/>
          <w:sz w:val="32"/>
          <w:szCs w:val="32"/>
          <w:shd w:val="clear" w:color="auto" w:fill="FFFFFF"/>
        </w:rPr>
        <w:t>10</w:t>
      </w:r>
      <w:r w:rsidRPr="000F23FB">
        <w:rPr>
          <w:rFonts w:ascii="仿宋_GB2312" w:eastAsia="宋体" w:hAnsi="仿宋_GB2312" w:cs="Times New Roman"/>
          <w:color w:val="333333"/>
          <w:sz w:val="32"/>
          <w:szCs w:val="32"/>
          <w:shd w:val="clear" w:color="auto" w:fill="FFFFFF"/>
        </w:rPr>
        <w:t>个职能科室和</w:t>
      </w:r>
      <w:r w:rsidRPr="000F23FB">
        <w:rPr>
          <w:rFonts w:ascii="仿宋_GB2312" w:eastAsia="宋体" w:hAnsi="微软雅黑" w:cs="Times New Roman"/>
          <w:color w:val="333333"/>
          <w:sz w:val="32"/>
          <w:szCs w:val="32"/>
          <w:shd w:val="clear" w:color="auto" w:fill="FFFFFF"/>
        </w:rPr>
        <w:t>6</w:t>
      </w:r>
      <w:r w:rsidRPr="000F23FB">
        <w:rPr>
          <w:rFonts w:ascii="仿宋_GB2312" w:eastAsia="宋体" w:hAnsi="微软雅黑" w:cs="Times New Roman"/>
          <w:color w:val="333333"/>
          <w:sz w:val="32"/>
          <w:szCs w:val="32"/>
          <w:shd w:val="clear" w:color="auto" w:fill="FFFFFF"/>
        </w:rPr>
        <w:t>个办事处，</w:t>
      </w:r>
      <w:r w:rsidRPr="000F23FB">
        <w:rPr>
          <w:rFonts w:ascii="仿宋_GB2312" w:eastAsia="宋体" w:hAnsi="仿宋_GB2312" w:cs="Times New Roman"/>
          <w:sz w:val="32"/>
          <w:szCs w:val="32"/>
        </w:rPr>
        <w:t>包括：</w:t>
      </w:r>
      <w:r w:rsidRPr="000F23FB">
        <w:rPr>
          <w:rFonts w:ascii="仿宋_GB2312" w:eastAsia="宋体" w:hAnsi="仿宋_GB2312" w:cs="Times New Roman"/>
          <w:color w:val="333333"/>
          <w:sz w:val="32"/>
          <w:szCs w:val="32"/>
          <w:shd w:val="clear" w:color="auto" w:fill="FFFFFF"/>
        </w:rPr>
        <w:t>办公室、政工科、计财科、归集科、核算科、信贷科、政策法规科、稽核科、信贷风险防控科、信息技术科；（派出集贤、宝清、友谊、饶河、电厂、矿区六个办事处）。</w:t>
      </w:r>
      <w:r w:rsidRPr="000F23FB">
        <w:rPr>
          <w:rFonts w:ascii="仿宋_GB2312" w:eastAsia="宋体" w:hAnsi="仿宋_GB2312" w:cs="Times New Roman"/>
          <w:sz w:val="32"/>
          <w:szCs w:val="32"/>
        </w:rPr>
        <w:t>核定编制</w:t>
      </w:r>
      <w:r w:rsidRPr="000F23FB">
        <w:rPr>
          <w:rFonts w:ascii="仿宋_GB2312" w:eastAsia="宋体" w:hAnsi="仿宋_GB2312" w:cs="Times New Roman"/>
          <w:sz w:val="32"/>
          <w:szCs w:val="32"/>
        </w:rPr>
        <w:t>76</w:t>
      </w:r>
      <w:r w:rsidRPr="000F23FB">
        <w:rPr>
          <w:rFonts w:ascii="仿宋_GB2312" w:eastAsia="宋体" w:hAnsi="仿宋_GB2312" w:cs="Times New Roman"/>
          <w:sz w:val="32"/>
          <w:szCs w:val="32"/>
        </w:rPr>
        <w:t>名。</w:t>
      </w:r>
    </w:p>
    <w:p w:rsidR="000F23FB" w:rsidRPr="000F23FB" w:rsidRDefault="000F23FB" w:rsidP="000F23FB">
      <w:pPr>
        <w:widowControl/>
        <w:spacing w:line="315" w:lineRule="atLeast"/>
        <w:rPr>
          <w:rFonts w:ascii="仿宋_GB2312" w:eastAsia="宋体" w:hAnsi="仿宋_GB2312" w:cs="Times New Roman"/>
          <w:sz w:val="32"/>
          <w:szCs w:val="32"/>
        </w:rPr>
      </w:pPr>
      <w:r w:rsidRPr="000F23FB">
        <w:rPr>
          <w:rFonts w:ascii="仿宋_GB2312" w:eastAsia="宋体" w:hAnsi="仿宋_GB2312" w:cs="Times New Roman"/>
          <w:sz w:val="32"/>
          <w:szCs w:val="32"/>
        </w:rPr>
        <w:t xml:space="preserve"> </w:t>
      </w:r>
    </w:p>
    <w:p w:rsidR="000F23FB" w:rsidRPr="000F23FB" w:rsidRDefault="000F23FB" w:rsidP="000F23FB">
      <w:pPr>
        <w:widowControl/>
        <w:shd w:val="clear" w:color="auto" w:fill="FFFFFF"/>
        <w:spacing w:line="420" w:lineRule="atLeast"/>
        <w:jc w:val="left"/>
        <w:rPr>
          <w:rFonts w:ascii="微软雅黑" w:eastAsia="微软雅黑" w:hAnsi="微软雅黑" w:cs="宋体"/>
          <w:color w:val="333333"/>
          <w:kern w:val="0"/>
          <w:sz w:val="32"/>
          <w:szCs w:val="32"/>
        </w:rPr>
      </w:pPr>
      <w:r w:rsidRPr="000F23FB">
        <w:rPr>
          <w:rFonts w:ascii="仿宋_GB2312" w:eastAsia="宋体" w:hAnsi="仿宋_GB2312" w:cs="宋体"/>
          <w:color w:val="333333"/>
          <w:kern w:val="0"/>
          <w:sz w:val="32"/>
          <w:szCs w:val="32"/>
          <w:shd w:val="clear" w:color="auto" w:fill="FFFFFF"/>
        </w:rPr>
        <w:t>（一）办公室</w:t>
      </w:r>
      <w:r w:rsidRPr="000F23FB">
        <w:rPr>
          <w:rFonts w:ascii="仿宋_GB2312" w:eastAsia="宋体" w:hAnsi="仿宋_GB2312" w:cs="宋体"/>
          <w:kern w:val="0"/>
          <w:sz w:val="32"/>
          <w:szCs w:val="32"/>
        </w:rPr>
        <w:t>：</w:t>
      </w:r>
      <w:r w:rsidRPr="000F23FB">
        <w:rPr>
          <w:rFonts w:ascii="微软雅黑" w:eastAsia="微软雅黑" w:hAnsi="微软雅黑" w:cs="宋体" w:hint="eastAsia"/>
          <w:color w:val="333333"/>
          <w:kern w:val="0"/>
          <w:sz w:val="32"/>
          <w:szCs w:val="32"/>
        </w:rPr>
        <w:t>负责日常政务的综合协调和处理; 负责重要综合性文稿的起草、修改和各</w:t>
      </w:r>
      <w:proofErr w:type="gramStart"/>
      <w:r w:rsidRPr="000F23FB">
        <w:rPr>
          <w:rFonts w:ascii="微软雅黑" w:eastAsia="微软雅黑" w:hAnsi="微软雅黑" w:cs="宋体" w:hint="eastAsia"/>
          <w:color w:val="333333"/>
          <w:kern w:val="0"/>
          <w:sz w:val="32"/>
          <w:szCs w:val="32"/>
        </w:rPr>
        <w:t>类正式</w:t>
      </w:r>
      <w:proofErr w:type="gramEnd"/>
      <w:r w:rsidRPr="000F23FB">
        <w:rPr>
          <w:rFonts w:ascii="微软雅黑" w:eastAsia="微软雅黑" w:hAnsi="微软雅黑" w:cs="宋体" w:hint="eastAsia"/>
          <w:color w:val="333333"/>
          <w:kern w:val="0"/>
          <w:sz w:val="32"/>
          <w:szCs w:val="32"/>
        </w:rPr>
        <w:t>文件、材料的登记、</w:t>
      </w:r>
      <w:r w:rsidRPr="000F23FB">
        <w:rPr>
          <w:rFonts w:ascii="微软雅黑" w:eastAsia="微软雅黑" w:hAnsi="微软雅黑" w:cs="宋体" w:hint="eastAsia"/>
          <w:color w:val="333333"/>
          <w:kern w:val="0"/>
          <w:sz w:val="32"/>
          <w:szCs w:val="32"/>
        </w:rPr>
        <w:lastRenderedPageBreak/>
        <w:t>核稿、印发；负责文书归档工作；负责车辆管理；负责安全保卫工作，搞好机关后勤服务工作。</w:t>
      </w:r>
    </w:p>
    <w:p w:rsidR="000F23FB" w:rsidRPr="000F23FB" w:rsidRDefault="000F23FB" w:rsidP="000F23FB">
      <w:pPr>
        <w:widowControl/>
        <w:shd w:val="clear" w:color="auto" w:fill="FFFFFF"/>
        <w:spacing w:line="420" w:lineRule="atLeast"/>
        <w:jc w:val="left"/>
        <w:rPr>
          <w:rFonts w:ascii="微软雅黑" w:eastAsia="微软雅黑" w:hAnsi="微软雅黑" w:cs="宋体" w:hint="eastAsia"/>
          <w:color w:val="333333"/>
          <w:kern w:val="0"/>
          <w:sz w:val="32"/>
          <w:szCs w:val="32"/>
        </w:rPr>
      </w:pPr>
      <w:r w:rsidRPr="000F23FB">
        <w:rPr>
          <w:rFonts w:ascii="仿宋_GB2312" w:eastAsia="宋体" w:hAnsi="仿宋_GB2312" w:cs="宋体"/>
          <w:color w:val="333333"/>
          <w:kern w:val="0"/>
          <w:sz w:val="32"/>
          <w:szCs w:val="32"/>
          <w:shd w:val="clear" w:color="auto" w:fill="FFFFFF"/>
        </w:rPr>
        <w:t>（二）政工科</w:t>
      </w:r>
      <w:r w:rsidRPr="000F23FB">
        <w:rPr>
          <w:rFonts w:ascii="仿宋_GB2312" w:eastAsia="宋体" w:hAnsi="仿宋_GB2312" w:cs="宋体"/>
          <w:kern w:val="0"/>
          <w:sz w:val="32"/>
          <w:szCs w:val="32"/>
        </w:rPr>
        <w:t>：</w:t>
      </w:r>
      <w:r w:rsidRPr="000F23FB">
        <w:rPr>
          <w:rFonts w:ascii="微软雅黑" w:eastAsia="微软雅黑" w:hAnsi="微软雅黑" w:cs="宋体" w:hint="eastAsia"/>
          <w:color w:val="333333"/>
          <w:kern w:val="0"/>
          <w:sz w:val="32"/>
          <w:szCs w:val="32"/>
        </w:rPr>
        <w:t>负责党务工作和职工思想政治工作；负责起草、修改、审定党组的各类文件材料；负责机构编制、人事管理、劳动工资、职称评审等工作；负责离退休干部管理；负责组织岗位责任制考核；负责工会、妇联、共青团等日常工作。</w:t>
      </w:r>
    </w:p>
    <w:p w:rsidR="000F23FB" w:rsidRPr="000F23FB" w:rsidRDefault="000F23FB" w:rsidP="000F23FB">
      <w:pPr>
        <w:widowControl/>
        <w:shd w:val="clear" w:color="auto" w:fill="FFFFFF"/>
        <w:spacing w:line="420" w:lineRule="atLeast"/>
        <w:jc w:val="left"/>
        <w:rPr>
          <w:rFonts w:ascii="仿宋_GB2312" w:eastAsia="宋体" w:hAnsi="仿宋_GB2312" w:cs="宋体" w:hint="eastAsia"/>
          <w:kern w:val="0"/>
          <w:sz w:val="32"/>
          <w:szCs w:val="32"/>
        </w:rPr>
      </w:pPr>
      <w:r w:rsidRPr="000F23FB">
        <w:rPr>
          <w:rFonts w:ascii="仿宋_GB2312" w:eastAsia="宋体" w:hAnsi="仿宋_GB2312" w:cs="宋体"/>
          <w:color w:val="333333"/>
          <w:kern w:val="0"/>
          <w:sz w:val="32"/>
          <w:szCs w:val="32"/>
          <w:shd w:val="clear" w:color="auto" w:fill="FFFFFF"/>
        </w:rPr>
        <w:t>（三）计财科：</w:t>
      </w:r>
      <w:r w:rsidRPr="000F23FB">
        <w:rPr>
          <w:rFonts w:ascii="微软雅黑" w:eastAsia="微软雅黑" w:hAnsi="微软雅黑" w:cs="宋体" w:hint="eastAsia"/>
          <w:color w:val="333333"/>
          <w:kern w:val="0"/>
          <w:sz w:val="32"/>
          <w:szCs w:val="32"/>
        </w:rPr>
        <w:t>负责行政、事业财务收支预决算的编制、执行、控制工作。负责日常财务核算工作，定期编制财务报告和有关统计月、季、年报工作，负责固定资产管理、年检工作。负责职工住房公积金和社会保险管理相关工作。</w:t>
      </w:r>
    </w:p>
    <w:p w:rsidR="000F23FB" w:rsidRPr="000F23FB" w:rsidRDefault="000F23FB" w:rsidP="000F23FB">
      <w:pPr>
        <w:widowControl/>
        <w:shd w:val="clear" w:color="auto" w:fill="FFFFFF"/>
        <w:spacing w:line="420" w:lineRule="atLeast"/>
        <w:jc w:val="left"/>
        <w:rPr>
          <w:rFonts w:ascii="微软雅黑" w:eastAsia="微软雅黑" w:hAnsi="微软雅黑" w:cs="宋体"/>
          <w:color w:val="333333"/>
          <w:kern w:val="0"/>
          <w:sz w:val="32"/>
          <w:szCs w:val="32"/>
        </w:rPr>
      </w:pPr>
      <w:r w:rsidRPr="000F23FB">
        <w:rPr>
          <w:rFonts w:ascii="仿宋_GB2312" w:eastAsia="宋体" w:hAnsi="仿宋_GB2312" w:cs="宋体"/>
          <w:color w:val="333333"/>
          <w:kern w:val="0"/>
          <w:sz w:val="32"/>
          <w:szCs w:val="32"/>
          <w:shd w:val="clear" w:color="auto" w:fill="FFFFFF"/>
        </w:rPr>
        <w:t>（四）归集科：</w:t>
      </w:r>
      <w:r w:rsidRPr="000F23FB">
        <w:rPr>
          <w:rFonts w:ascii="微软雅黑" w:eastAsia="微软雅黑" w:hAnsi="微软雅黑" w:cs="宋体" w:hint="eastAsia"/>
          <w:color w:val="333333"/>
          <w:kern w:val="0"/>
          <w:sz w:val="32"/>
          <w:szCs w:val="32"/>
        </w:rPr>
        <w:t>负责全市住房公积金缴存开户登记工作；指导各缴存单位建账和催缴工作；负责人员变更、缴存基数调整、缴存比率调整、个人信息修改、补缴审核；负责对各办事处归集工作的指导。</w:t>
      </w:r>
    </w:p>
    <w:p w:rsidR="000F23FB" w:rsidRPr="000F23FB" w:rsidRDefault="000F23FB" w:rsidP="000F23FB">
      <w:pPr>
        <w:widowControl/>
        <w:shd w:val="clear" w:color="auto" w:fill="FFFFFF"/>
        <w:spacing w:line="420" w:lineRule="atLeast"/>
        <w:jc w:val="left"/>
        <w:rPr>
          <w:rFonts w:ascii="微软雅黑" w:eastAsia="微软雅黑" w:hAnsi="微软雅黑" w:cs="宋体" w:hint="eastAsia"/>
          <w:color w:val="333333"/>
          <w:kern w:val="0"/>
          <w:sz w:val="32"/>
          <w:szCs w:val="32"/>
        </w:rPr>
      </w:pPr>
      <w:r w:rsidRPr="000F23FB">
        <w:rPr>
          <w:rFonts w:ascii="仿宋_GB2312" w:eastAsia="宋体" w:hAnsi="仿宋_GB2312" w:cs="宋体"/>
          <w:color w:val="333333"/>
          <w:kern w:val="0"/>
          <w:sz w:val="32"/>
          <w:szCs w:val="32"/>
          <w:shd w:val="clear" w:color="auto" w:fill="FFFFFF"/>
        </w:rPr>
        <w:t>（五）核算科：</w:t>
      </w:r>
      <w:r w:rsidRPr="000F23FB">
        <w:rPr>
          <w:rFonts w:ascii="微软雅黑" w:eastAsia="微软雅黑" w:hAnsi="微软雅黑" w:cs="宋体" w:hint="eastAsia"/>
          <w:color w:val="333333"/>
          <w:kern w:val="0"/>
          <w:sz w:val="32"/>
          <w:szCs w:val="32"/>
        </w:rPr>
        <w:t>负责办理公积金提取业务；负责公积金贷款发放、回收业务的核算；负责“中心”住房公积金业务总账和市本级账的核算工作；负责公积金单位账、个人明细账的记载，计结息工作；负责编制会计报表和年度预决算报告。</w:t>
      </w:r>
    </w:p>
    <w:p w:rsidR="000F23FB" w:rsidRPr="000F23FB" w:rsidRDefault="000F23FB" w:rsidP="000F23FB">
      <w:pPr>
        <w:autoSpaceDE w:val="0"/>
        <w:spacing w:line="560" w:lineRule="exact"/>
        <w:rPr>
          <w:rFonts w:ascii="仿宋_GB2312" w:eastAsia="宋体" w:hAnsi="仿宋_GB2312" w:cs="Times New Roman" w:hint="eastAsia"/>
          <w:sz w:val="32"/>
          <w:szCs w:val="32"/>
        </w:rPr>
      </w:pPr>
      <w:r w:rsidRPr="000F23FB">
        <w:rPr>
          <w:rFonts w:ascii="仿宋_GB2312" w:eastAsia="宋体" w:hAnsi="仿宋_GB2312" w:cs="Times New Roman"/>
          <w:sz w:val="32"/>
          <w:szCs w:val="32"/>
        </w:rPr>
        <w:t xml:space="preserve"> </w:t>
      </w:r>
    </w:p>
    <w:p w:rsidR="000F23FB" w:rsidRPr="000F23FB" w:rsidRDefault="000F23FB" w:rsidP="000F23FB">
      <w:pPr>
        <w:widowControl/>
        <w:shd w:val="clear" w:color="auto" w:fill="FFFFFF"/>
        <w:spacing w:line="420" w:lineRule="atLeast"/>
        <w:jc w:val="left"/>
        <w:rPr>
          <w:rFonts w:ascii="微软雅黑" w:eastAsia="微软雅黑" w:hAnsi="微软雅黑" w:cs="宋体"/>
          <w:color w:val="333333"/>
          <w:kern w:val="0"/>
          <w:sz w:val="32"/>
          <w:szCs w:val="32"/>
        </w:rPr>
      </w:pPr>
      <w:r w:rsidRPr="000F23FB">
        <w:rPr>
          <w:rFonts w:ascii="仿宋_GB2312" w:eastAsia="宋体" w:hAnsi="仿宋_GB2312" w:cs="宋体"/>
          <w:color w:val="333333"/>
          <w:kern w:val="0"/>
          <w:sz w:val="32"/>
          <w:szCs w:val="32"/>
          <w:shd w:val="clear" w:color="auto" w:fill="FFFFFF"/>
        </w:rPr>
        <w:lastRenderedPageBreak/>
        <w:t>（六）信贷科：</w:t>
      </w:r>
      <w:r w:rsidRPr="000F23FB">
        <w:rPr>
          <w:rFonts w:ascii="微软雅黑" w:eastAsia="微软雅黑" w:hAnsi="微软雅黑" w:cs="宋体" w:hint="eastAsia"/>
          <w:color w:val="333333"/>
          <w:kern w:val="0"/>
          <w:sz w:val="32"/>
          <w:szCs w:val="32"/>
        </w:rPr>
        <w:t>负责住房公积金个人贷款的办理和审核工作；负责办理结清贷款、返还抵押物工作；负责对逾期贷款的催收工作；负责贷款电子档案录入及文书档案管理工作；负责各办事处贷款业务的指导工作。</w:t>
      </w:r>
    </w:p>
    <w:p w:rsidR="000F23FB" w:rsidRPr="000F23FB" w:rsidRDefault="000F23FB" w:rsidP="000F23FB">
      <w:pPr>
        <w:widowControl/>
        <w:shd w:val="clear" w:color="auto" w:fill="FFFFFF"/>
        <w:spacing w:line="420" w:lineRule="atLeast"/>
        <w:jc w:val="left"/>
        <w:rPr>
          <w:rFonts w:ascii="微软雅黑" w:eastAsia="微软雅黑" w:hAnsi="微软雅黑" w:cs="宋体" w:hint="eastAsia"/>
          <w:color w:val="333333"/>
          <w:kern w:val="0"/>
          <w:sz w:val="32"/>
          <w:szCs w:val="32"/>
        </w:rPr>
      </w:pPr>
      <w:r w:rsidRPr="000F23FB">
        <w:rPr>
          <w:rFonts w:ascii="仿宋_GB2312" w:eastAsia="宋体" w:hAnsi="仿宋_GB2312" w:cs="宋体"/>
          <w:color w:val="333333"/>
          <w:kern w:val="0"/>
          <w:sz w:val="32"/>
          <w:szCs w:val="32"/>
          <w:shd w:val="clear" w:color="auto" w:fill="FFFFFF"/>
        </w:rPr>
        <w:t>（七）政策法规科：</w:t>
      </w:r>
      <w:r w:rsidRPr="000F23FB">
        <w:rPr>
          <w:rFonts w:ascii="微软雅黑" w:eastAsia="微软雅黑" w:hAnsi="微软雅黑" w:cs="宋体" w:hint="eastAsia"/>
          <w:color w:val="333333"/>
          <w:kern w:val="0"/>
          <w:sz w:val="32"/>
          <w:szCs w:val="32"/>
        </w:rPr>
        <w:t>负责全市住房公积金执法检查工作；依法督促单位建、</w:t>
      </w:r>
      <w:proofErr w:type="gramStart"/>
      <w:r w:rsidRPr="000F23FB">
        <w:rPr>
          <w:rFonts w:ascii="微软雅黑" w:eastAsia="微软雅黑" w:hAnsi="微软雅黑" w:cs="宋体" w:hint="eastAsia"/>
          <w:color w:val="333333"/>
          <w:kern w:val="0"/>
          <w:sz w:val="32"/>
          <w:szCs w:val="32"/>
        </w:rPr>
        <w:t>缴住房</w:t>
      </w:r>
      <w:proofErr w:type="gramEnd"/>
      <w:r w:rsidRPr="000F23FB">
        <w:rPr>
          <w:rFonts w:ascii="微软雅黑" w:eastAsia="微软雅黑" w:hAnsi="微软雅黑" w:cs="宋体" w:hint="eastAsia"/>
          <w:color w:val="333333"/>
          <w:kern w:val="0"/>
          <w:sz w:val="32"/>
          <w:szCs w:val="32"/>
        </w:rPr>
        <w:t>公积金；负责法规、业务综合培训和普法工作；负责本行政辖区内住房公积金管理各项政策法规的草拟工作。</w:t>
      </w:r>
    </w:p>
    <w:p w:rsidR="000F23FB" w:rsidRPr="000F23FB" w:rsidRDefault="000F23FB" w:rsidP="000F23FB">
      <w:pPr>
        <w:autoSpaceDE w:val="0"/>
        <w:spacing w:line="560" w:lineRule="exact"/>
        <w:rPr>
          <w:rFonts w:ascii="仿宋_GB2312" w:eastAsia="宋体" w:hAnsi="仿宋_GB2312" w:cs="Times New Roman" w:hint="eastAsia"/>
          <w:sz w:val="32"/>
          <w:szCs w:val="32"/>
        </w:rPr>
      </w:pPr>
      <w:r w:rsidRPr="000F23FB">
        <w:rPr>
          <w:rFonts w:ascii="仿宋_GB2312" w:eastAsia="宋体" w:hAnsi="仿宋_GB2312" w:cs="Times New Roman"/>
          <w:color w:val="333333"/>
          <w:sz w:val="32"/>
          <w:szCs w:val="32"/>
          <w:shd w:val="clear" w:color="auto" w:fill="FFFFFF"/>
        </w:rPr>
        <w:t>（八）稽核科：</w:t>
      </w:r>
      <w:r w:rsidRPr="000F23FB">
        <w:rPr>
          <w:rFonts w:ascii="微软雅黑" w:eastAsia="微软雅黑" w:hAnsi="微软雅黑" w:cs="Times New Roman" w:hint="eastAsia"/>
          <w:color w:val="333333"/>
          <w:sz w:val="32"/>
          <w:szCs w:val="32"/>
        </w:rPr>
        <w:t>负责对财务各类凭证、相关账目、财务档案等情况的合法性、合</w:t>
      </w:r>
      <w:proofErr w:type="gramStart"/>
      <w:r w:rsidRPr="000F23FB">
        <w:rPr>
          <w:rFonts w:ascii="微软雅黑" w:eastAsia="微软雅黑" w:hAnsi="微软雅黑" w:cs="Times New Roman" w:hint="eastAsia"/>
          <w:color w:val="333333"/>
          <w:sz w:val="32"/>
          <w:szCs w:val="32"/>
        </w:rPr>
        <w:t>规</w:t>
      </w:r>
      <w:proofErr w:type="gramEnd"/>
      <w:r w:rsidRPr="000F23FB">
        <w:rPr>
          <w:rFonts w:ascii="微软雅黑" w:eastAsia="微软雅黑" w:hAnsi="微软雅黑" w:cs="Times New Roman" w:hint="eastAsia"/>
          <w:color w:val="333333"/>
          <w:sz w:val="32"/>
          <w:szCs w:val="32"/>
        </w:rPr>
        <w:t>性、真实性进行稽核；负责对中心及各办事处编制的会计报表等情况的真实、准确、合法、合</w:t>
      </w:r>
      <w:proofErr w:type="gramStart"/>
      <w:r w:rsidRPr="000F23FB">
        <w:rPr>
          <w:rFonts w:ascii="微软雅黑" w:eastAsia="微软雅黑" w:hAnsi="微软雅黑" w:cs="Times New Roman" w:hint="eastAsia"/>
          <w:color w:val="333333"/>
          <w:sz w:val="32"/>
          <w:szCs w:val="32"/>
        </w:rPr>
        <w:t>规</w:t>
      </w:r>
      <w:proofErr w:type="gramEnd"/>
      <w:r w:rsidRPr="000F23FB">
        <w:rPr>
          <w:rFonts w:ascii="微软雅黑" w:eastAsia="微软雅黑" w:hAnsi="微软雅黑" w:cs="Times New Roman" w:hint="eastAsia"/>
          <w:color w:val="333333"/>
          <w:sz w:val="32"/>
          <w:szCs w:val="32"/>
        </w:rPr>
        <w:t>性进行稽核。</w:t>
      </w:r>
    </w:p>
    <w:p w:rsidR="000F23FB" w:rsidRPr="000F23FB" w:rsidRDefault="000F23FB" w:rsidP="000F23FB">
      <w:pPr>
        <w:widowControl/>
        <w:shd w:val="clear" w:color="auto" w:fill="FFFFFF"/>
        <w:spacing w:line="420" w:lineRule="atLeast"/>
        <w:jc w:val="left"/>
        <w:rPr>
          <w:rFonts w:ascii="微软雅黑" w:eastAsia="微软雅黑" w:hAnsi="微软雅黑" w:cs="宋体"/>
          <w:color w:val="333333"/>
          <w:kern w:val="0"/>
          <w:sz w:val="32"/>
          <w:szCs w:val="32"/>
        </w:rPr>
      </w:pPr>
      <w:r w:rsidRPr="000F23FB">
        <w:rPr>
          <w:rFonts w:ascii="仿宋_GB2312" w:eastAsia="宋体" w:hAnsi="仿宋_GB2312" w:cs="宋体"/>
          <w:color w:val="333333"/>
          <w:kern w:val="0"/>
          <w:sz w:val="32"/>
          <w:szCs w:val="32"/>
          <w:shd w:val="clear" w:color="auto" w:fill="FFFFFF"/>
        </w:rPr>
        <w:t>（九）信贷风险防控科：</w:t>
      </w:r>
      <w:r w:rsidRPr="000F23FB">
        <w:rPr>
          <w:rFonts w:ascii="微软雅黑" w:eastAsia="微软雅黑" w:hAnsi="微软雅黑" w:cs="宋体" w:hint="eastAsia"/>
          <w:color w:val="333333"/>
          <w:kern w:val="0"/>
          <w:sz w:val="32"/>
          <w:szCs w:val="32"/>
        </w:rPr>
        <w:t>负责强化贷款发放的全程风险防范，完善逾期贷款清收机制，依法加大逾期贷款清收力度，保证资金安全运作。</w:t>
      </w:r>
    </w:p>
    <w:p w:rsidR="000F23FB" w:rsidRPr="000F23FB" w:rsidRDefault="000F23FB" w:rsidP="000F23FB">
      <w:pPr>
        <w:widowControl/>
        <w:shd w:val="clear" w:color="auto" w:fill="FFFFFF"/>
        <w:spacing w:line="420" w:lineRule="atLeast"/>
        <w:jc w:val="left"/>
        <w:rPr>
          <w:rFonts w:ascii="微软雅黑" w:eastAsia="微软雅黑" w:hAnsi="微软雅黑" w:cs="宋体" w:hint="eastAsia"/>
          <w:color w:val="333333"/>
          <w:kern w:val="0"/>
          <w:sz w:val="32"/>
          <w:szCs w:val="32"/>
        </w:rPr>
      </w:pPr>
      <w:r w:rsidRPr="000F23FB">
        <w:rPr>
          <w:rFonts w:ascii="仿宋_GB2312" w:eastAsia="宋体" w:hAnsi="仿宋_GB2312" w:cs="宋体"/>
          <w:color w:val="333333"/>
          <w:kern w:val="0"/>
          <w:sz w:val="32"/>
          <w:szCs w:val="32"/>
          <w:shd w:val="clear" w:color="auto" w:fill="FFFFFF"/>
        </w:rPr>
        <w:t>（十）信息技术科：</w:t>
      </w:r>
      <w:r w:rsidRPr="000F23FB">
        <w:rPr>
          <w:rFonts w:ascii="微软雅黑" w:eastAsia="微软雅黑" w:hAnsi="微软雅黑" w:cs="宋体" w:hint="eastAsia"/>
          <w:color w:val="333333"/>
          <w:kern w:val="0"/>
          <w:sz w:val="32"/>
          <w:szCs w:val="32"/>
        </w:rPr>
        <w:t>负责全市住房公积金管理系统运行、维护与升级，提供与业务需求相适应的计算机技术保障；负责全市住房公积金管理系统计算机硬件的运行维护；负责建立和管理本中心网站建设、内部局域网络和办公自动化系统</w:t>
      </w:r>
    </w:p>
    <w:p w:rsidR="000F23FB" w:rsidRPr="000F23FB" w:rsidRDefault="000F23FB" w:rsidP="000F23FB">
      <w:pPr>
        <w:keepNext/>
        <w:autoSpaceDE w:val="0"/>
        <w:spacing w:line="560" w:lineRule="exact"/>
        <w:outlineLvl w:val="1"/>
        <w:rPr>
          <w:rFonts w:ascii="黑体" w:eastAsia="黑体" w:hAnsi="黑体" w:cs="Arial" w:hint="eastAsia"/>
          <w:sz w:val="32"/>
          <w:szCs w:val="32"/>
        </w:rPr>
      </w:pPr>
      <w:bookmarkStart w:id="8" w:name="_Toc29084"/>
      <w:bookmarkEnd w:id="8"/>
      <w:r w:rsidRPr="000F23FB">
        <w:rPr>
          <w:rFonts w:ascii="黑体" w:eastAsia="黑体" w:hAnsi="黑体" w:cs="Arial" w:hint="eastAsia"/>
          <w:sz w:val="32"/>
          <w:szCs w:val="32"/>
        </w:rPr>
        <w:t>三、部门决算编报范围和人员情况</w:t>
      </w:r>
    </w:p>
    <w:p w:rsidR="000F23FB" w:rsidRPr="000F23FB" w:rsidRDefault="000F23FB" w:rsidP="000F23FB">
      <w:pPr>
        <w:autoSpaceDE w:val="0"/>
        <w:spacing w:line="560" w:lineRule="exact"/>
        <w:rPr>
          <w:rFonts w:ascii="仿宋_GB2312" w:eastAsia="宋体" w:hAnsi="仿宋_GB2312" w:cs="Times New Roman" w:hint="eastAsia"/>
          <w:sz w:val="32"/>
          <w:szCs w:val="32"/>
        </w:rPr>
      </w:pPr>
      <w:r w:rsidRPr="000F23FB">
        <w:rPr>
          <w:rFonts w:ascii="仿宋_GB2312" w:eastAsia="宋体" w:hAnsi="仿宋_GB2312" w:cs="Times New Roman"/>
          <w:sz w:val="32"/>
          <w:szCs w:val="32"/>
        </w:rPr>
        <w:t>双鸭山市住房公积金管理中心</w:t>
      </w:r>
      <w:r w:rsidRPr="000F23FB">
        <w:rPr>
          <w:rFonts w:ascii="仿宋_GB2312" w:eastAsia="宋体" w:hAnsi="仿宋_GB2312" w:cs="Times New Roman"/>
          <w:sz w:val="32"/>
          <w:szCs w:val="32"/>
        </w:rPr>
        <w:t>2018</w:t>
      </w:r>
      <w:r w:rsidRPr="000F23FB">
        <w:rPr>
          <w:rFonts w:ascii="仿宋_GB2312" w:eastAsia="宋体" w:hAnsi="仿宋_GB2312" w:cs="Times New Roman"/>
          <w:sz w:val="32"/>
          <w:szCs w:val="32"/>
        </w:rPr>
        <w:t>年末机构实有人数</w:t>
      </w:r>
      <w:r w:rsidRPr="000F23FB">
        <w:rPr>
          <w:rFonts w:ascii="仿宋_GB2312" w:eastAsia="宋体" w:hAnsi="仿宋_GB2312" w:cs="Times New Roman"/>
          <w:sz w:val="32"/>
          <w:szCs w:val="32"/>
        </w:rPr>
        <w:t>72</w:t>
      </w:r>
      <w:r w:rsidRPr="000F23FB">
        <w:rPr>
          <w:rFonts w:ascii="仿宋_GB2312" w:eastAsia="宋体" w:hAnsi="仿宋_GB2312" w:cs="Times New Roman"/>
          <w:sz w:val="32"/>
          <w:szCs w:val="32"/>
        </w:rPr>
        <w:t>人，其中：在职人员</w:t>
      </w:r>
      <w:r w:rsidRPr="000F23FB">
        <w:rPr>
          <w:rFonts w:ascii="仿宋_GB2312" w:eastAsia="宋体" w:hAnsi="仿宋_GB2312" w:cs="Times New Roman"/>
          <w:sz w:val="32"/>
          <w:szCs w:val="32"/>
        </w:rPr>
        <w:t xml:space="preserve"> 62</w:t>
      </w:r>
      <w:r w:rsidRPr="000F23FB">
        <w:rPr>
          <w:rFonts w:ascii="仿宋_GB2312" w:eastAsia="宋体" w:hAnsi="仿宋_GB2312" w:cs="Times New Roman"/>
          <w:sz w:val="32"/>
          <w:szCs w:val="32"/>
        </w:rPr>
        <w:t>人，离休人员无，退休人员</w:t>
      </w:r>
      <w:r w:rsidRPr="000F23FB">
        <w:rPr>
          <w:rFonts w:ascii="仿宋_GB2312" w:eastAsia="宋体" w:hAnsi="仿宋_GB2312" w:cs="Times New Roman"/>
          <w:sz w:val="32"/>
          <w:szCs w:val="32"/>
        </w:rPr>
        <w:t xml:space="preserve"> 10</w:t>
      </w:r>
      <w:r w:rsidRPr="000F23FB">
        <w:rPr>
          <w:rFonts w:ascii="仿宋_GB2312" w:eastAsia="宋体" w:hAnsi="仿宋_GB2312" w:cs="Times New Roman"/>
          <w:sz w:val="32"/>
          <w:szCs w:val="32"/>
        </w:rPr>
        <w:t>人。</w:t>
      </w:r>
    </w:p>
    <w:p w:rsidR="000F23FB" w:rsidRPr="000F23FB" w:rsidRDefault="000F23FB" w:rsidP="000F23FB">
      <w:pPr>
        <w:keepNext/>
        <w:autoSpaceDE w:val="0"/>
        <w:spacing w:line="560" w:lineRule="exact"/>
        <w:outlineLvl w:val="0"/>
        <w:rPr>
          <w:rFonts w:ascii="宋体" w:eastAsia="宋体" w:hAnsi="宋体" w:cs="Times New Roman"/>
          <w:b/>
          <w:bCs/>
          <w:kern w:val="44"/>
          <w:sz w:val="44"/>
          <w:szCs w:val="44"/>
        </w:rPr>
      </w:pPr>
      <w:bookmarkStart w:id="9" w:name="_Toc13857_WPSOffice_Level1"/>
      <w:bookmarkStart w:id="10" w:name="_Toc14523"/>
      <w:bookmarkStart w:id="11" w:name="_Toc23530"/>
      <w:bookmarkEnd w:id="9"/>
      <w:bookmarkEnd w:id="10"/>
      <w:r w:rsidRPr="000F23FB">
        <w:rPr>
          <w:rFonts w:ascii="宋体" w:eastAsia="宋体" w:hAnsi="宋体" w:cs="Times New Roman" w:hint="eastAsia"/>
          <w:b/>
          <w:bCs/>
          <w:kern w:val="44"/>
          <w:sz w:val="44"/>
          <w:szCs w:val="44"/>
        </w:rPr>
        <w:lastRenderedPageBreak/>
        <w:t>第二部分</w:t>
      </w:r>
      <w:bookmarkEnd w:id="11"/>
      <w:r w:rsidRPr="000F23FB">
        <w:rPr>
          <w:rFonts w:ascii="宋体" w:eastAsia="宋体" w:hAnsi="宋体" w:cs="Times New Roman" w:hint="eastAsia"/>
          <w:b/>
          <w:bCs/>
          <w:kern w:val="44"/>
          <w:sz w:val="44"/>
          <w:szCs w:val="44"/>
        </w:rPr>
        <w:t>2018年度部门决算报表</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520"/>
        <w:gridCol w:w="679"/>
        <w:gridCol w:w="1963"/>
        <w:gridCol w:w="2970"/>
        <w:gridCol w:w="555"/>
        <w:gridCol w:w="1801"/>
      </w:tblGrid>
      <w:tr w:rsidR="000F23FB" w:rsidRPr="000F23FB" w:rsidTr="000F23FB">
        <w:trPr>
          <w:trHeight w:val="843"/>
          <w:jc w:val="center"/>
        </w:trPr>
        <w:tc>
          <w:tcPr>
            <w:tcW w:w="10488" w:type="dxa"/>
            <w:gridSpan w:val="6"/>
            <w:tcBorders>
              <w:top w:val="nil"/>
              <w:left w:val="nil"/>
              <w:bottom w:val="nil"/>
              <w:right w:val="nil"/>
            </w:tcBorders>
            <w:vAlign w:val="center"/>
          </w:tcPr>
          <w:p w:rsidR="000F23FB" w:rsidRPr="000F23FB" w:rsidRDefault="000F23FB" w:rsidP="000F23FB">
            <w:pPr>
              <w:autoSpaceDE w:val="0"/>
              <w:spacing w:before="100" w:beforeAutospacing="1" w:after="100" w:afterAutospacing="1" w:line="560" w:lineRule="exact"/>
              <w:jc w:val="center"/>
              <w:rPr>
                <w:rFonts w:ascii="黑体" w:eastAsia="黑体" w:hAnsi="黑体" w:cs="Times New Roman" w:hint="eastAsia"/>
                <w:sz w:val="32"/>
                <w:szCs w:val="32"/>
              </w:rPr>
            </w:pPr>
            <w:bookmarkStart w:id="12" w:name="_Toc17512"/>
            <w:r w:rsidRPr="000F23FB">
              <w:rPr>
                <w:rFonts w:ascii="黑体" w:eastAsia="黑体" w:hAnsi="黑体" w:cs="Times New Roman" w:hint="eastAsia"/>
                <w:sz w:val="32"/>
                <w:szCs w:val="32"/>
              </w:rPr>
              <w:t>收入支出决算总表</w:t>
            </w:r>
            <w:bookmarkEnd w:id="12"/>
          </w:p>
          <w:p w:rsidR="000F23FB" w:rsidRPr="000F23FB" w:rsidRDefault="000F23FB" w:rsidP="000F23FB">
            <w:pPr>
              <w:rPr>
                <w:rFonts w:ascii="Arial" w:eastAsia="宋体" w:hAnsi="Arial" w:cs="Arial" w:hint="eastAsia"/>
                <w:color w:val="000000"/>
                <w:sz w:val="20"/>
                <w:szCs w:val="20"/>
              </w:rPr>
            </w:pPr>
          </w:p>
        </w:tc>
      </w:tr>
      <w:tr w:rsidR="000F23FB" w:rsidRPr="000F23FB" w:rsidTr="000F23FB">
        <w:trPr>
          <w:trHeight w:val="319"/>
          <w:jc w:val="center"/>
        </w:trPr>
        <w:tc>
          <w:tcPr>
            <w:tcW w:w="2520" w:type="dxa"/>
            <w:tcBorders>
              <w:top w:val="nil"/>
              <w:left w:val="nil"/>
              <w:bottom w:val="nil"/>
              <w:right w:val="nil"/>
            </w:tcBorders>
            <w:vAlign w:val="bottom"/>
          </w:tcPr>
          <w:p w:rsidR="000F23FB" w:rsidRPr="000F23FB" w:rsidRDefault="000F23FB" w:rsidP="000F23FB">
            <w:pPr>
              <w:rPr>
                <w:rFonts w:ascii="Arial" w:eastAsia="宋体" w:hAnsi="Arial" w:cs="Arial"/>
                <w:color w:val="000000"/>
                <w:sz w:val="20"/>
                <w:szCs w:val="20"/>
              </w:rPr>
            </w:pPr>
          </w:p>
        </w:tc>
        <w:tc>
          <w:tcPr>
            <w:tcW w:w="679" w:type="dxa"/>
            <w:tcBorders>
              <w:top w:val="nil"/>
              <w:left w:val="nil"/>
              <w:bottom w:val="nil"/>
              <w:right w:val="nil"/>
            </w:tcBorders>
            <w:vAlign w:val="bottom"/>
          </w:tcPr>
          <w:p w:rsidR="000F23FB" w:rsidRPr="000F23FB" w:rsidRDefault="000F23FB" w:rsidP="000F23FB">
            <w:pPr>
              <w:rPr>
                <w:rFonts w:ascii="Arial" w:eastAsia="宋体" w:hAnsi="Arial" w:cs="Arial"/>
                <w:color w:val="000000"/>
                <w:sz w:val="20"/>
                <w:szCs w:val="20"/>
              </w:rPr>
            </w:pPr>
          </w:p>
        </w:tc>
        <w:tc>
          <w:tcPr>
            <w:tcW w:w="1963" w:type="dxa"/>
            <w:tcBorders>
              <w:top w:val="nil"/>
              <w:left w:val="nil"/>
              <w:bottom w:val="nil"/>
              <w:right w:val="nil"/>
            </w:tcBorders>
            <w:vAlign w:val="bottom"/>
          </w:tcPr>
          <w:p w:rsidR="000F23FB" w:rsidRPr="000F23FB" w:rsidRDefault="000F23FB" w:rsidP="000F23FB">
            <w:pPr>
              <w:rPr>
                <w:rFonts w:ascii="Arial" w:eastAsia="宋体" w:hAnsi="Arial" w:cs="Arial"/>
                <w:color w:val="000000"/>
                <w:sz w:val="20"/>
                <w:szCs w:val="20"/>
              </w:rPr>
            </w:pPr>
          </w:p>
        </w:tc>
        <w:tc>
          <w:tcPr>
            <w:tcW w:w="2970" w:type="dxa"/>
            <w:tcBorders>
              <w:top w:val="nil"/>
              <w:left w:val="nil"/>
              <w:bottom w:val="nil"/>
              <w:right w:val="nil"/>
            </w:tcBorders>
            <w:vAlign w:val="bottom"/>
          </w:tcPr>
          <w:p w:rsidR="000F23FB" w:rsidRPr="000F23FB" w:rsidRDefault="000F23FB" w:rsidP="000F23FB">
            <w:pPr>
              <w:rPr>
                <w:rFonts w:ascii="Arial" w:eastAsia="宋体" w:hAnsi="Arial" w:cs="Arial"/>
                <w:color w:val="000000"/>
                <w:sz w:val="20"/>
                <w:szCs w:val="20"/>
              </w:rPr>
            </w:pPr>
          </w:p>
        </w:tc>
        <w:tc>
          <w:tcPr>
            <w:tcW w:w="555" w:type="dxa"/>
            <w:tcBorders>
              <w:top w:val="nil"/>
              <w:left w:val="nil"/>
              <w:bottom w:val="nil"/>
              <w:right w:val="nil"/>
            </w:tcBorders>
            <w:vAlign w:val="bottom"/>
          </w:tcPr>
          <w:p w:rsidR="000F23FB" w:rsidRPr="000F23FB" w:rsidRDefault="000F23FB" w:rsidP="000F23FB">
            <w:pPr>
              <w:rPr>
                <w:rFonts w:ascii="Arial" w:eastAsia="宋体" w:hAnsi="Arial" w:cs="Arial"/>
                <w:color w:val="000000"/>
                <w:sz w:val="20"/>
                <w:szCs w:val="20"/>
              </w:rPr>
            </w:pPr>
          </w:p>
        </w:tc>
        <w:tc>
          <w:tcPr>
            <w:tcW w:w="1801" w:type="dxa"/>
            <w:tcBorders>
              <w:top w:val="nil"/>
              <w:left w:val="nil"/>
              <w:bottom w:val="nil"/>
              <w:right w:val="nil"/>
            </w:tcBorders>
            <w:vAlign w:val="bottom"/>
            <w:hideMark/>
          </w:tcPr>
          <w:p w:rsidR="000F23FB" w:rsidRPr="000F23FB" w:rsidRDefault="000F23FB" w:rsidP="000F23FB">
            <w:pPr>
              <w:widowControl/>
              <w:jc w:val="right"/>
              <w:textAlignment w:val="bottom"/>
              <w:rPr>
                <w:rFonts w:ascii="宋体" w:eastAsia="宋体" w:hAnsi="宋体" w:cs="Times New Roman"/>
                <w:color w:val="000000"/>
                <w:sz w:val="20"/>
                <w:szCs w:val="20"/>
              </w:rPr>
            </w:pPr>
            <w:r w:rsidRPr="000F23FB">
              <w:rPr>
                <w:rFonts w:ascii="宋体" w:eastAsia="宋体" w:hAnsi="宋体" w:cs="Times New Roman" w:hint="eastAsia"/>
                <w:color w:val="000000"/>
                <w:kern w:val="0"/>
                <w:sz w:val="20"/>
                <w:szCs w:val="20"/>
              </w:rPr>
              <w:t>公开01表</w:t>
            </w:r>
          </w:p>
        </w:tc>
      </w:tr>
      <w:tr w:rsidR="000F23FB" w:rsidRPr="000F23FB" w:rsidTr="000F23FB">
        <w:trPr>
          <w:trHeight w:val="334"/>
          <w:jc w:val="center"/>
        </w:trPr>
        <w:tc>
          <w:tcPr>
            <w:tcW w:w="3199" w:type="dxa"/>
            <w:gridSpan w:val="2"/>
            <w:tcBorders>
              <w:top w:val="nil"/>
              <w:left w:val="nil"/>
              <w:bottom w:val="nil"/>
              <w:right w:val="nil"/>
            </w:tcBorders>
            <w:vAlign w:val="bottom"/>
            <w:hideMark/>
          </w:tcPr>
          <w:p w:rsidR="000F23FB" w:rsidRPr="000F23FB" w:rsidRDefault="000F23FB" w:rsidP="000F23FB">
            <w:pPr>
              <w:rPr>
                <w:rFonts w:ascii="Arial" w:eastAsia="宋体" w:hAnsi="Arial" w:cs="Arial" w:hint="eastAsia"/>
                <w:color w:val="000000"/>
                <w:sz w:val="20"/>
                <w:szCs w:val="20"/>
              </w:rPr>
            </w:pPr>
            <w:r w:rsidRPr="000F23FB">
              <w:rPr>
                <w:rFonts w:ascii="宋体" w:eastAsia="宋体" w:hAnsi="宋体" w:cs="Times New Roman" w:hint="eastAsia"/>
                <w:color w:val="000000"/>
                <w:kern w:val="0"/>
                <w:sz w:val="20"/>
                <w:szCs w:val="20"/>
              </w:rPr>
              <w:t>部门：双鸭山市住房公积金管理中心</w:t>
            </w:r>
          </w:p>
        </w:tc>
        <w:tc>
          <w:tcPr>
            <w:tcW w:w="4933" w:type="dxa"/>
            <w:gridSpan w:val="2"/>
            <w:tcBorders>
              <w:top w:val="nil"/>
              <w:left w:val="nil"/>
              <w:bottom w:val="nil"/>
              <w:right w:val="nil"/>
            </w:tcBorders>
            <w:vAlign w:val="bottom"/>
            <w:hideMark/>
          </w:tcPr>
          <w:p w:rsidR="000F23FB" w:rsidRPr="000F23FB" w:rsidRDefault="000F23FB" w:rsidP="000F23FB">
            <w:pPr>
              <w:rPr>
                <w:rFonts w:ascii="Arial" w:eastAsia="宋体" w:hAnsi="Arial" w:cs="Arial"/>
                <w:color w:val="000000"/>
                <w:sz w:val="20"/>
                <w:szCs w:val="20"/>
              </w:rPr>
            </w:pPr>
            <w:r w:rsidRPr="000F23FB">
              <w:rPr>
                <w:rFonts w:ascii="Arial" w:eastAsia="宋体" w:hAnsi="Arial" w:cs="Arial" w:hint="eastAsia"/>
                <w:color w:val="000000"/>
                <w:sz w:val="20"/>
                <w:szCs w:val="20"/>
              </w:rPr>
              <w:t>2018</w:t>
            </w:r>
            <w:r w:rsidRPr="000F23FB">
              <w:rPr>
                <w:rFonts w:ascii="宋体" w:eastAsia="宋体" w:hAnsi="宋体" w:cs="Arial" w:hint="eastAsia"/>
                <w:color w:val="000000"/>
                <w:sz w:val="20"/>
                <w:szCs w:val="20"/>
              </w:rPr>
              <w:t>年度</w:t>
            </w:r>
          </w:p>
        </w:tc>
        <w:tc>
          <w:tcPr>
            <w:tcW w:w="555" w:type="dxa"/>
            <w:tcBorders>
              <w:top w:val="nil"/>
              <w:left w:val="nil"/>
              <w:bottom w:val="single" w:sz="4" w:space="0" w:color="000000"/>
              <w:right w:val="nil"/>
            </w:tcBorders>
            <w:vAlign w:val="bottom"/>
          </w:tcPr>
          <w:p w:rsidR="000F23FB" w:rsidRPr="000F23FB" w:rsidRDefault="000F23FB" w:rsidP="000F23FB">
            <w:pPr>
              <w:rPr>
                <w:rFonts w:ascii="Arial" w:eastAsia="宋体" w:hAnsi="Arial" w:cs="Arial" w:hint="eastAsia"/>
                <w:color w:val="000000"/>
                <w:sz w:val="20"/>
                <w:szCs w:val="20"/>
              </w:rPr>
            </w:pPr>
          </w:p>
        </w:tc>
        <w:tc>
          <w:tcPr>
            <w:tcW w:w="1801" w:type="dxa"/>
            <w:tcBorders>
              <w:top w:val="nil"/>
              <w:left w:val="nil"/>
              <w:bottom w:val="single" w:sz="4" w:space="0" w:color="000000"/>
              <w:right w:val="nil"/>
            </w:tcBorders>
            <w:vAlign w:val="bottom"/>
            <w:hideMark/>
          </w:tcPr>
          <w:p w:rsidR="000F23FB" w:rsidRPr="000F23FB" w:rsidRDefault="000F23FB" w:rsidP="000F23FB">
            <w:pPr>
              <w:widowControl/>
              <w:jc w:val="right"/>
              <w:textAlignment w:val="bottom"/>
              <w:rPr>
                <w:rFonts w:ascii="宋体" w:eastAsia="宋体" w:hAnsi="宋体" w:cs="Times New Roman"/>
                <w:color w:val="000000"/>
                <w:sz w:val="20"/>
                <w:szCs w:val="20"/>
              </w:rPr>
            </w:pPr>
            <w:r w:rsidRPr="000F23FB">
              <w:rPr>
                <w:rFonts w:ascii="宋体" w:eastAsia="宋体" w:hAnsi="宋体" w:cs="Times New Roman" w:hint="eastAsia"/>
                <w:color w:val="000000"/>
                <w:kern w:val="0"/>
                <w:sz w:val="20"/>
                <w:szCs w:val="20"/>
              </w:rPr>
              <w:t>金额单位：万元</w:t>
            </w:r>
          </w:p>
        </w:tc>
      </w:tr>
      <w:tr w:rsidR="000F23FB" w:rsidRPr="000F23FB" w:rsidTr="000F23FB">
        <w:trPr>
          <w:trHeight w:val="334"/>
          <w:jc w:val="center"/>
        </w:trPr>
        <w:tc>
          <w:tcPr>
            <w:tcW w:w="5162"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收入</w:t>
            </w:r>
          </w:p>
        </w:tc>
        <w:tc>
          <w:tcPr>
            <w:tcW w:w="5326" w:type="dxa"/>
            <w:gridSpan w:val="3"/>
            <w:tcBorders>
              <w:top w:val="single" w:sz="4" w:space="0" w:color="000000"/>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支出</w:t>
            </w: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项目</w:t>
            </w: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行次</w:t>
            </w:r>
          </w:p>
        </w:tc>
        <w:tc>
          <w:tcPr>
            <w:tcW w:w="1963"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金额</w:t>
            </w: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项目</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行次</w:t>
            </w:r>
          </w:p>
        </w:tc>
        <w:tc>
          <w:tcPr>
            <w:tcW w:w="1801"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金额</w:t>
            </w: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栏次</w:t>
            </w:r>
          </w:p>
        </w:tc>
        <w:tc>
          <w:tcPr>
            <w:tcW w:w="679" w:type="dxa"/>
            <w:tcBorders>
              <w:top w:val="nil"/>
              <w:left w:val="nil"/>
              <w:bottom w:val="single" w:sz="4" w:space="0" w:color="000000"/>
              <w:right w:val="single" w:sz="4" w:space="0" w:color="000000"/>
            </w:tcBorders>
            <w:shd w:val="clear" w:color="auto" w:fill="C0C0C0"/>
            <w:vAlign w:val="center"/>
          </w:tcPr>
          <w:p w:rsidR="000F23FB" w:rsidRPr="000F23FB" w:rsidRDefault="000F23FB" w:rsidP="000F23FB">
            <w:pPr>
              <w:jc w:val="center"/>
              <w:rPr>
                <w:rFonts w:ascii="宋体" w:eastAsia="宋体" w:hAnsi="宋体" w:cs="Times New Roman" w:hint="eastAsia"/>
                <w:color w:val="000000"/>
                <w:sz w:val="22"/>
              </w:rPr>
            </w:pPr>
          </w:p>
        </w:tc>
        <w:tc>
          <w:tcPr>
            <w:tcW w:w="1963"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w:t>
            </w: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栏次</w:t>
            </w:r>
          </w:p>
        </w:tc>
        <w:tc>
          <w:tcPr>
            <w:tcW w:w="555" w:type="dxa"/>
            <w:tcBorders>
              <w:top w:val="nil"/>
              <w:left w:val="nil"/>
              <w:bottom w:val="single" w:sz="4" w:space="0" w:color="000000"/>
              <w:right w:val="single" w:sz="4" w:space="0" w:color="000000"/>
            </w:tcBorders>
            <w:shd w:val="clear" w:color="auto" w:fill="C0C0C0"/>
            <w:vAlign w:val="center"/>
          </w:tcPr>
          <w:p w:rsidR="000F23FB" w:rsidRPr="000F23FB" w:rsidRDefault="000F23FB" w:rsidP="000F23FB">
            <w:pPr>
              <w:jc w:val="center"/>
              <w:rPr>
                <w:rFonts w:ascii="宋体" w:eastAsia="宋体" w:hAnsi="宋体" w:cs="Times New Roman" w:hint="eastAsia"/>
                <w:color w:val="000000"/>
                <w:sz w:val="22"/>
              </w:rPr>
            </w:pPr>
          </w:p>
        </w:tc>
        <w:tc>
          <w:tcPr>
            <w:tcW w:w="1801"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w:t>
            </w: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一、财政拨款收入</w:t>
            </w: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w:t>
            </w:r>
          </w:p>
        </w:tc>
        <w:tc>
          <w:tcPr>
            <w:tcW w:w="1963" w:type="dxa"/>
            <w:tcBorders>
              <w:top w:val="nil"/>
              <w:left w:val="nil"/>
              <w:bottom w:val="single" w:sz="4" w:space="0" w:color="000000"/>
              <w:right w:val="single" w:sz="4" w:space="0" w:color="000000"/>
            </w:tcBorders>
            <w:vAlign w:val="center"/>
            <w:hideMark/>
          </w:tcPr>
          <w:p w:rsidR="000F23FB" w:rsidRPr="000F23FB" w:rsidRDefault="000F23FB" w:rsidP="000F23FB">
            <w:pPr>
              <w:jc w:val="right"/>
              <w:rPr>
                <w:rFonts w:ascii="宋体" w:eastAsia="宋体" w:hAnsi="宋体" w:cs="Times New Roman" w:hint="eastAsia"/>
                <w:color w:val="000000"/>
                <w:sz w:val="22"/>
              </w:rPr>
            </w:pPr>
            <w:r w:rsidRPr="000F23FB">
              <w:rPr>
                <w:rFonts w:ascii="宋体" w:eastAsia="宋体" w:hAnsi="宋体" w:cs="Times New Roman" w:hint="eastAsia"/>
                <w:color w:val="000000"/>
                <w:sz w:val="22"/>
              </w:rPr>
              <w:t>821.49</w:t>
            </w: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一、一般公共服务支出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28</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二、上级补助收入</w:t>
            </w: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二、外交支出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29</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三、事业收入</w:t>
            </w: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三、国防支出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30</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四、经营收入</w:t>
            </w: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四、公共安全支出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31</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五、附属单位上缴收入</w:t>
            </w: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五、教育支出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32</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六、其他收入</w:t>
            </w: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6</w:t>
            </w:r>
          </w:p>
        </w:tc>
        <w:tc>
          <w:tcPr>
            <w:tcW w:w="1963" w:type="dxa"/>
            <w:tcBorders>
              <w:top w:val="nil"/>
              <w:left w:val="nil"/>
              <w:bottom w:val="single" w:sz="4" w:space="0" w:color="000000"/>
              <w:right w:val="single" w:sz="4" w:space="0" w:color="000000"/>
            </w:tcBorders>
            <w:vAlign w:val="center"/>
            <w:hideMark/>
          </w:tcPr>
          <w:p w:rsidR="000F23FB" w:rsidRPr="000F23FB" w:rsidRDefault="000F23FB" w:rsidP="000F23FB">
            <w:pPr>
              <w:jc w:val="right"/>
              <w:rPr>
                <w:rFonts w:ascii="宋体" w:eastAsia="宋体" w:hAnsi="宋体" w:cs="Times New Roman" w:hint="eastAsia"/>
                <w:color w:val="000000"/>
                <w:sz w:val="22"/>
              </w:rPr>
            </w:pPr>
            <w:r w:rsidRPr="000F23FB">
              <w:rPr>
                <w:rFonts w:ascii="宋体" w:eastAsia="宋体" w:hAnsi="宋体" w:cs="Times New Roman" w:hint="eastAsia"/>
                <w:color w:val="000000"/>
                <w:sz w:val="22"/>
              </w:rPr>
              <w:t>0.01</w:t>
            </w: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六、科学技术支出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33</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7</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七、文化体育与传媒支出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34</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8</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八、社会保障和就业支出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35</w:t>
            </w:r>
          </w:p>
        </w:tc>
        <w:tc>
          <w:tcPr>
            <w:tcW w:w="1801" w:type="dxa"/>
            <w:tcBorders>
              <w:top w:val="nil"/>
              <w:left w:val="nil"/>
              <w:bottom w:val="single" w:sz="4" w:space="0" w:color="000000"/>
              <w:right w:val="single" w:sz="4" w:space="0" w:color="000000"/>
            </w:tcBorders>
            <w:vAlign w:val="center"/>
            <w:hideMark/>
          </w:tcPr>
          <w:p w:rsidR="000F23FB" w:rsidRPr="000F23FB" w:rsidRDefault="000F23FB" w:rsidP="000F23FB">
            <w:pPr>
              <w:jc w:val="right"/>
              <w:rPr>
                <w:rFonts w:ascii="宋体" w:eastAsia="宋体" w:hAnsi="宋体" w:cs="Times New Roman" w:hint="eastAsia"/>
                <w:color w:val="000000"/>
                <w:sz w:val="22"/>
              </w:rPr>
            </w:pPr>
            <w:r w:rsidRPr="000F23FB">
              <w:rPr>
                <w:rFonts w:ascii="宋体" w:eastAsia="宋体" w:hAnsi="宋体" w:cs="Times New Roman" w:hint="eastAsia"/>
                <w:color w:val="000000"/>
                <w:sz w:val="22"/>
              </w:rPr>
              <w:t>32.13</w:t>
            </w: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9</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九、医疗卫生与计划生育支出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36</w:t>
            </w:r>
          </w:p>
        </w:tc>
        <w:tc>
          <w:tcPr>
            <w:tcW w:w="1801" w:type="dxa"/>
            <w:tcBorders>
              <w:top w:val="nil"/>
              <w:left w:val="nil"/>
              <w:bottom w:val="single" w:sz="4" w:space="0" w:color="000000"/>
              <w:right w:val="single" w:sz="4" w:space="0" w:color="000000"/>
            </w:tcBorders>
            <w:vAlign w:val="center"/>
            <w:hideMark/>
          </w:tcPr>
          <w:p w:rsidR="000F23FB" w:rsidRPr="000F23FB" w:rsidRDefault="000F23FB" w:rsidP="000F23FB">
            <w:pPr>
              <w:jc w:val="right"/>
              <w:rPr>
                <w:rFonts w:ascii="宋体" w:eastAsia="宋体" w:hAnsi="宋体" w:cs="Times New Roman" w:hint="eastAsia"/>
                <w:color w:val="000000"/>
                <w:sz w:val="22"/>
              </w:rPr>
            </w:pPr>
            <w:r w:rsidRPr="000F23FB">
              <w:rPr>
                <w:rFonts w:ascii="宋体" w:eastAsia="宋体" w:hAnsi="宋体" w:cs="Times New Roman" w:hint="eastAsia"/>
                <w:color w:val="000000"/>
                <w:sz w:val="22"/>
              </w:rPr>
              <w:t>19.95</w:t>
            </w: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10</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十、节能环保支出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37</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11</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十一、城乡社区支出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38</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12</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十二、农林水支出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39</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13</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十三、交通运输支出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40</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14</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十四、资源勘探信息等支出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41</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15</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十五、商业服务业等支出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42</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16</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十六、金融支出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43</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17</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十七、援助其他地区支出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44</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18</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十八、国土海洋气象等支出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45</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十九、住房保障支出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46</w:t>
            </w:r>
          </w:p>
        </w:tc>
        <w:tc>
          <w:tcPr>
            <w:tcW w:w="1801" w:type="dxa"/>
            <w:tcBorders>
              <w:top w:val="nil"/>
              <w:left w:val="nil"/>
              <w:bottom w:val="single" w:sz="4" w:space="0" w:color="000000"/>
              <w:right w:val="single" w:sz="4" w:space="0" w:color="000000"/>
            </w:tcBorders>
            <w:vAlign w:val="center"/>
            <w:hideMark/>
          </w:tcPr>
          <w:p w:rsidR="000F23FB" w:rsidRPr="000F23FB" w:rsidRDefault="000F23FB" w:rsidP="000F23FB">
            <w:pPr>
              <w:jc w:val="right"/>
              <w:rPr>
                <w:rFonts w:ascii="宋体" w:eastAsia="宋体" w:hAnsi="宋体" w:cs="Times New Roman" w:hint="eastAsia"/>
                <w:color w:val="000000"/>
                <w:sz w:val="22"/>
              </w:rPr>
            </w:pPr>
            <w:r w:rsidRPr="000F23FB">
              <w:rPr>
                <w:rFonts w:ascii="宋体" w:eastAsia="宋体" w:hAnsi="宋体" w:cs="Times New Roman" w:hint="eastAsia"/>
                <w:color w:val="000000"/>
                <w:sz w:val="22"/>
              </w:rPr>
              <w:t>755.01</w:t>
            </w: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二十、粮油物资储备支出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47</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21</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二十一、其他支出</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48</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22</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49</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本年收入合计</w:t>
            </w: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23</w:t>
            </w:r>
          </w:p>
        </w:tc>
        <w:tc>
          <w:tcPr>
            <w:tcW w:w="1963" w:type="dxa"/>
            <w:tcBorders>
              <w:top w:val="nil"/>
              <w:left w:val="nil"/>
              <w:bottom w:val="single" w:sz="4" w:space="0" w:color="000000"/>
              <w:right w:val="single" w:sz="4" w:space="0" w:color="000000"/>
            </w:tcBorders>
            <w:vAlign w:val="center"/>
            <w:hideMark/>
          </w:tcPr>
          <w:p w:rsidR="000F23FB" w:rsidRPr="000F23FB" w:rsidRDefault="000F23FB" w:rsidP="000F23FB">
            <w:pPr>
              <w:jc w:val="right"/>
              <w:rPr>
                <w:rFonts w:ascii="宋体" w:eastAsia="宋体" w:hAnsi="宋体" w:cs="Times New Roman" w:hint="eastAsia"/>
                <w:color w:val="000000"/>
                <w:sz w:val="22"/>
              </w:rPr>
            </w:pPr>
            <w:r w:rsidRPr="000F23FB">
              <w:rPr>
                <w:rFonts w:ascii="宋体" w:eastAsia="宋体" w:hAnsi="宋体" w:cs="Times New Roman" w:hint="eastAsia"/>
                <w:color w:val="000000"/>
                <w:sz w:val="22"/>
              </w:rPr>
              <w:t>821.50</w:t>
            </w: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本年支出合计</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50</w:t>
            </w:r>
          </w:p>
        </w:tc>
        <w:tc>
          <w:tcPr>
            <w:tcW w:w="1801" w:type="dxa"/>
            <w:tcBorders>
              <w:top w:val="nil"/>
              <w:left w:val="nil"/>
              <w:bottom w:val="single" w:sz="4" w:space="0" w:color="000000"/>
              <w:right w:val="single" w:sz="4" w:space="0" w:color="000000"/>
            </w:tcBorders>
            <w:vAlign w:val="center"/>
            <w:hideMark/>
          </w:tcPr>
          <w:p w:rsidR="000F23FB" w:rsidRPr="000F23FB" w:rsidRDefault="000F23FB" w:rsidP="000F23FB">
            <w:pPr>
              <w:jc w:val="right"/>
              <w:rPr>
                <w:rFonts w:ascii="宋体" w:eastAsia="宋体" w:hAnsi="宋体" w:cs="Times New Roman" w:hint="eastAsia"/>
                <w:color w:val="000000"/>
                <w:sz w:val="22"/>
              </w:rPr>
            </w:pPr>
            <w:r w:rsidRPr="000F23FB">
              <w:rPr>
                <w:rFonts w:ascii="宋体" w:eastAsia="宋体" w:hAnsi="宋体" w:cs="Times New Roman" w:hint="eastAsia"/>
                <w:color w:val="000000"/>
                <w:sz w:val="22"/>
              </w:rPr>
              <w:t>807.08</w:t>
            </w: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用事业基金弥补收支差额</w:t>
            </w: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24</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结余分配</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51</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年初结转和结余</w:t>
            </w: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25</w:t>
            </w:r>
          </w:p>
        </w:tc>
        <w:tc>
          <w:tcPr>
            <w:tcW w:w="1963" w:type="dxa"/>
            <w:tcBorders>
              <w:top w:val="nil"/>
              <w:left w:val="nil"/>
              <w:bottom w:val="single" w:sz="4" w:space="0" w:color="000000"/>
              <w:right w:val="single" w:sz="4" w:space="0" w:color="000000"/>
            </w:tcBorders>
            <w:vAlign w:val="center"/>
            <w:hideMark/>
          </w:tcPr>
          <w:p w:rsidR="000F23FB" w:rsidRPr="000F23FB" w:rsidRDefault="000F23FB" w:rsidP="000F23FB">
            <w:pPr>
              <w:jc w:val="right"/>
              <w:rPr>
                <w:rFonts w:ascii="宋体" w:eastAsia="宋体" w:hAnsi="宋体" w:cs="Times New Roman" w:hint="eastAsia"/>
                <w:color w:val="000000"/>
                <w:sz w:val="22"/>
              </w:rPr>
            </w:pPr>
            <w:r w:rsidRPr="000F23FB">
              <w:rPr>
                <w:rFonts w:ascii="宋体" w:eastAsia="宋体" w:hAnsi="宋体" w:cs="Times New Roman" w:hint="eastAsia"/>
                <w:color w:val="000000"/>
                <w:sz w:val="22"/>
              </w:rPr>
              <w:t>4.35</w:t>
            </w: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年末结转和结余</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52</w:t>
            </w:r>
          </w:p>
        </w:tc>
        <w:tc>
          <w:tcPr>
            <w:tcW w:w="1801" w:type="dxa"/>
            <w:tcBorders>
              <w:top w:val="nil"/>
              <w:left w:val="nil"/>
              <w:bottom w:val="single" w:sz="4" w:space="0" w:color="000000"/>
              <w:right w:val="single" w:sz="4" w:space="0" w:color="000000"/>
            </w:tcBorders>
            <w:vAlign w:val="center"/>
            <w:hideMark/>
          </w:tcPr>
          <w:p w:rsidR="000F23FB" w:rsidRPr="000F23FB" w:rsidRDefault="000F23FB" w:rsidP="000F23FB">
            <w:pPr>
              <w:jc w:val="right"/>
              <w:rPr>
                <w:rFonts w:ascii="宋体" w:eastAsia="宋体" w:hAnsi="宋体" w:cs="Times New Roman" w:hint="eastAsia"/>
                <w:color w:val="000000"/>
                <w:sz w:val="22"/>
              </w:rPr>
            </w:pPr>
            <w:r w:rsidRPr="000F23FB">
              <w:rPr>
                <w:rFonts w:ascii="宋体" w:eastAsia="宋体" w:hAnsi="宋体" w:cs="Times New Roman" w:hint="eastAsia"/>
                <w:color w:val="000000"/>
                <w:sz w:val="22"/>
              </w:rPr>
              <w:t>18.77</w:t>
            </w: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26</w:t>
            </w:r>
          </w:p>
        </w:tc>
        <w:tc>
          <w:tcPr>
            <w:tcW w:w="19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970" w:type="dxa"/>
            <w:tcBorders>
              <w:top w:val="nil"/>
              <w:left w:val="nil"/>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53</w:t>
            </w:r>
          </w:p>
        </w:tc>
        <w:tc>
          <w:tcPr>
            <w:tcW w:w="1801"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34"/>
          <w:jc w:val="center"/>
        </w:trPr>
        <w:tc>
          <w:tcPr>
            <w:tcW w:w="2520"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总计</w:t>
            </w:r>
          </w:p>
        </w:tc>
        <w:tc>
          <w:tcPr>
            <w:tcW w:w="67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27</w:t>
            </w:r>
          </w:p>
        </w:tc>
        <w:tc>
          <w:tcPr>
            <w:tcW w:w="1963" w:type="dxa"/>
            <w:tcBorders>
              <w:top w:val="nil"/>
              <w:left w:val="nil"/>
              <w:bottom w:val="single" w:sz="4" w:space="0" w:color="000000"/>
              <w:right w:val="single" w:sz="4" w:space="0" w:color="000000"/>
            </w:tcBorders>
            <w:vAlign w:val="center"/>
            <w:hideMark/>
          </w:tcPr>
          <w:p w:rsidR="000F23FB" w:rsidRPr="000F23FB" w:rsidRDefault="000F23FB" w:rsidP="000F23FB">
            <w:pPr>
              <w:jc w:val="right"/>
              <w:rPr>
                <w:rFonts w:ascii="宋体" w:eastAsia="宋体" w:hAnsi="宋体" w:cs="Times New Roman" w:hint="eastAsia"/>
                <w:color w:val="000000"/>
                <w:sz w:val="22"/>
              </w:rPr>
            </w:pPr>
            <w:r w:rsidRPr="000F23FB">
              <w:rPr>
                <w:rFonts w:ascii="宋体" w:eastAsia="宋体" w:hAnsi="宋体" w:cs="Times New Roman" w:hint="eastAsia"/>
                <w:color w:val="000000"/>
                <w:sz w:val="22"/>
              </w:rPr>
              <w:t>825.85</w:t>
            </w:r>
          </w:p>
        </w:tc>
        <w:tc>
          <w:tcPr>
            <w:tcW w:w="297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总计</w:t>
            </w:r>
          </w:p>
        </w:tc>
        <w:tc>
          <w:tcPr>
            <w:tcW w:w="55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54</w:t>
            </w:r>
          </w:p>
        </w:tc>
        <w:tc>
          <w:tcPr>
            <w:tcW w:w="1801" w:type="dxa"/>
            <w:tcBorders>
              <w:top w:val="nil"/>
              <w:left w:val="nil"/>
              <w:bottom w:val="single" w:sz="4" w:space="0" w:color="000000"/>
              <w:right w:val="single" w:sz="4" w:space="0" w:color="000000"/>
            </w:tcBorders>
            <w:vAlign w:val="center"/>
            <w:hideMark/>
          </w:tcPr>
          <w:p w:rsidR="000F23FB" w:rsidRPr="000F23FB" w:rsidRDefault="000F23FB" w:rsidP="000F23FB">
            <w:pPr>
              <w:jc w:val="right"/>
              <w:rPr>
                <w:rFonts w:ascii="宋体" w:eastAsia="宋体" w:hAnsi="宋体" w:cs="Times New Roman" w:hint="eastAsia"/>
                <w:color w:val="000000"/>
                <w:sz w:val="22"/>
              </w:rPr>
            </w:pPr>
            <w:r w:rsidRPr="000F23FB">
              <w:rPr>
                <w:rFonts w:ascii="宋体" w:eastAsia="宋体" w:hAnsi="宋体" w:cs="Times New Roman" w:hint="eastAsia"/>
                <w:color w:val="000000"/>
                <w:sz w:val="22"/>
              </w:rPr>
              <w:t>825.85</w:t>
            </w:r>
          </w:p>
        </w:tc>
      </w:tr>
      <w:tr w:rsidR="000F23FB" w:rsidRPr="000F23FB" w:rsidTr="000F23FB">
        <w:trPr>
          <w:trHeight w:val="334"/>
          <w:jc w:val="center"/>
        </w:trPr>
        <w:tc>
          <w:tcPr>
            <w:tcW w:w="10488" w:type="dxa"/>
            <w:gridSpan w:val="6"/>
            <w:tcBorders>
              <w:top w:val="nil"/>
              <w:left w:val="nil"/>
              <w:bottom w:val="nil"/>
              <w:right w:val="nil"/>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18"/>
                <w:szCs w:val="18"/>
              </w:rPr>
              <w:t>注：本表反映部门本年度的总收支和年末结转结余情况。本表金额转换为万元时，因四舍五入可能存在尾差。</w:t>
            </w:r>
          </w:p>
        </w:tc>
      </w:tr>
    </w:tbl>
    <w:p w:rsidR="000F23FB" w:rsidRPr="000F23FB" w:rsidRDefault="000F23FB" w:rsidP="000F23FB">
      <w:pPr>
        <w:rPr>
          <w:rFonts w:ascii="宋体" w:eastAsia="宋体" w:hAnsi="宋体" w:cs="Times New Roman" w:hint="eastAsia"/>
          <w:szCs w:val="21"/>
        </w:rPr>
      </w:pPr>
      <w:r w:rsidRPr="000F23FB">
        <w:rPr>
          <w:rFonts w:ascii="宋体" w:eastAsia="宋体" w:hAnsi="宋体" w:cs="Times New Roman" w:hint="eastAsia"/>
          <w:szCs w:val="21"/>
        </w:rPr>
        <w:lastRenderedPageBreak/>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04"/>
        <w:gridCol w:w="2910"/>
        <w:gridCol w:w="980"/>
        <w:gridCol w:w="1000"/>
        <w:gridCol w:w="990"/>
        <w:gridCol w:w="950"/>
        <w:gridCol w:w="1060"/>
        <w:gridCol w:w="1077"/>
        <w:gridCol w:w="986"/>
      </w:tblGrid>
      <w:tr w:rsidR="000F23FB" w:rsidRPr="000F23FB" w:rsidTr="000F23FB">
        <w:trPr>
          <w:trHeight w:val="760"/>
          <w:jc w:val="center"/>
        </w:trPr>
        <w:tc>
          <w:tcPr>
            <w:tcW w:w="10657" w:type="dxa"/>
            <w:gridSpan w:val="9"/>
            <w:tcBorders>
              <w:top w:val="nil"/>
              <w:left w:val="nil"/>
              <w:bottom w:val="nil"/>
              <w:right w:val="nil"/>
            </w:tcBorders>
          </w:tcPr>
          <w:p w:rsidR="000F23FB" w:rsidRPr="000F23FB" w:rsidRDefault="000F23FB" w:rsidP="000F23FB">
            <w:pPr>
              <w:autoSpaceDE w:val="0"/>
              <w:spacing w:before="100" w:beforeAutospacing="1" w:after="100" w:afterAutospacing="1" w:line="560" w:lineRule="exact"/>
              <w:jc w:val="center"/>
              <w:rPr>
                <w:rFonts w:ascii="Arial" w:eastAsia="仿宋" w:hAnsi="Arial" w:cs="Times New Roman" w:hint="eastAsia"/>
                <w:b/>
                <w:bCs/>
                <w:sz w:val="30"/>
                <w:szCs w:val="30"/>
              </w:rPr>
            </w:pPr>
            <w:bookmarkStart w:id="13" w:name="_Toc20841"/>
            <w:r w:rsidRPr="000F23FB">
              <w:rPr>
                <w:rFonts w:ascii="黑体" w:eastAsia="黑体" w:hAnsi="黑体" w:cs="Times New Roman" w:hint="eastAsia"/>
                <w:sz w:val="32"/>
                <w:szCs w:val="32"/>
              </w:rPr>
              <w:t>收入决算表</w:t>
            </w:r>
            <w:bookmarkEnd w:id="13"/>
          </w:p>
          <w:p w:rsidR="000F23FB" w:rsidRPr="000F23FB" w:rsidRDefault="000F23FB" w:rsidP="000F23FB">
            <w:pPr>
              <w:jc w:val="center"/>
              <w:rPr>
                <w:rFonts w:ascii="Arial" w:eastAsia="宋体" w:hAnsi="Arial" w:cs="Arial" w:hint="eastAsia"/>
                <w:color w:val="000000"/>
                <w:sz w:val="20"/>
                <w:szCs w:val="20"/>
              </w:rPr>
            </w:pPr>
          </w:p>
        </w:tc>
      </w:tr>
      <w:tr w:rsidR="000F23FB" w:rsidRPr="000F23FB" w:rsidTr="000F23FB">
        <w:trPr>
          <w:trHeight w:val="255"/>
          <w:jc w:val="center"/>
        </w:trPr>
        <w:tc>
          <w:tcPr>
            <w:tcW w:w="10657" w:type="dxa"/>
            <w:gridSpan w:val="9"/>
            <w:tcBorders>
              <w:top w:val="nil"/>
              <w:left w:val="nil"/>
              <w:bottom w:val="nil"/>
              <w:right w:val="nil"/>
            </w:tcBorders>
            <w:vAlign w:val="bottom"/>
            <w:hideMark/>
          </w:tcPr>
          <w:p w:rsidR="000F23FB" w:rsidRPr="000F23FB" w:rsidRDefault="000F23FB" w:rsidP="000F23FB">
            <w:pPr>
              <w:widowControl/>
              <w:jc w:val="right"/>
              <w:textAlignment w:val="bottom"/>
              <w:rPr>
                <w:rFonts w:ascii="宋体" w:eastAsia="宋体" w:hAnsi="宋体" w:cs="Times New Roman"/>
                <w:color w:val="000000"/>
                <w:sz w:val="20"/>
                <w:szCs w:val="20"/>
              </w:rPr>
            </w:pPr>
            <w:r w:rsidRPr="000F23FB">
              <w:rPr>
                <w:rFonts w:ascii="宋体" w:eastAsia="宋体" w:hAnsi="宋体" w:cs="Times New Roman" w:hint="eastAsia"/>
                <w:color w:val="000000"/>
                <w:kern w:val="0"/>
                <w:sz w:val="20"/>
                <w:szCs w:val="20"/>
              </w:rPr>
              <w:t>公开02表</w:t>
            </w:r>
          </w:p>
        </w:tc>
      </w:tr>
      <w:tr w:rsidR="000F23FB" w:rsidRPr="000F23FB" w:rsidTr="000F23FB">
        <w:trPr>
          <w:trHeight w:val="253"/>
          <w:jc w:val="center"/>
        </w:trPr>
        <w:tc>
          <w:tcPr>
            <w:tcW w:w="10657" w:type="dxa"/>
            <w:gridSpan w:val="9"/>
            <w:tcBorders>
              <w:top w:val="nil"/>
              <w:left w:val="nil"/>
              <w:bottom w:val="nil"/>
              <w:right w:val="nil"/>
            </w:tcBorders>
            <w:vAlign w:val="bottom"/>
            <w:hideMark/>
          </w:tcPr>
          <w:p w:rsidR="000F23FB" w:rsidRPr="000F23FB" w:rsidRDefault="000F23FB" w:rsidP="000F23FB">
            <w:pPr>
              <w:jc w:val="left"/>
              <w:rPr>
                <w:rFonts w:ascii="Arial" w:eastAsia="宋体" w:hAnsi="Arial" w:cs="Arial" w:hint="eastAsia"/>
                <w:color w:val="000000"/>
                <w:sz w:val="20"/>
                <w:szCs w:val="20"/>
              </w:rPr>
            </w:pPr>
            <w:r w:rsidRPr="000F23FB">
              <w:rPr>
                <w:rFonts w:ascii="宋体" w:eastAsia="宋体" w:hAnsi="宋体" w:cs="Times New Roman" w:hint="eastAsia"/>
                <w:color w:val="000000"/>
                <w:kern w:val="0"/>
                <w:sz w:val="20"/>
                <w:szCs w:val="20"/>
              </w:rPr>
              <w:t xml:space="preserve">部门： </w:t>
            </w:r>
            <w:r w:rsidRPr="000F23FB">
              <w:rPr>
                <w:rFonts w:ascii="宋体" w:eastAsia="宋体" w:hAnsi="宋体" w:cs="Times New Roman" w:hint="eastAsia"/>
                <w:color w:val="FF0000"/>
                <w:kern w:val="0"/>
                <w:sz w:val="20"/>
                <w:szCs w:val="20"/>
              </w:rPr>
              <w:t>双鸭山市住房公积金管理中心</w:t>
            </w:r>
            <w:r w:rsidRPr="000F23FB">
              <w:rPr>
                <w:rFonts w:ascii="宋体" w:eastAsia="宋体" w:hAnsi="宋体" w:cs="Times New Roman" w:hint="eastAsia"/>
                <w:color w:val="000000"/>
                <w:kern w:val="0"/>
                <w:sz w:val="20"/>
                <w:szCs w:val="20"/>
              </w:rPr>
              <w:t xml:space="preserve">              2018年度                                   金额单位：万元</w:t>
            </w:r>
          </w:p>
          <w:p w:rsidR="000F23FB" w:rsidRPr="000F23FB" w:rsidRDefault="000F23FB" w:rsidP="000F23FB">
            <w:pPr>
              <w:rPr>
                <w:rFonts w:ascii="Arial" w:eastAsia="宋体" w:hAnsi="Arial" w:cs="Arial" w:hint="eastAsia"/>
                <w:color w:val="000000"/>
                <w:sz w:val="20"/>
                <w:szCs w:val="20"/>
              </w:rPr>
            </w:pPr>
            <w:r w:rsidRPr="000F23FB">
              <w:rPr>
                <w:rFonts w:ascii="Arial" w:eastAsia="宋体" w:hAnsi="Arial" w:cs="Arial" w:hint="eastAsia"/>
                <w:color w:val="000000"/>
                <w:sz w:val="20"/>
                <w:szCs w:val="20"/>
              </w:rPr>
              <w:t>2017</w:t>
            </w:r>
            <w:r w:rsidRPr="000F23FB">
              <w:rPr>
                <w:rFonts w:ascii="宋体" w:eastAsia="宋体" w:hAnsi="宋体" w:cs="Arial" w:hint="eastAsia"/>
                <w:color w:val="000000"/>
                <w:sz w:val="20"/>
                <w:szCs w:val="20"/>
              </w:rPr>
              <w:t>年度</w:t>
            </w:r>
          </w:p>
          <w:p w:rsidR="000F23FB" w:rsidRPr="000F23FB" w:rsidRDefault="000F23FB" w:rsidP="000F23FB">
            <w:pPr>
              <w:widowControl/>
              <w:jc w:val="right"/>
              <w:textAlignment w:val="bottom"/>
              <w:rPr>
                <w:rFonts w:ascii="宋体" w:eastAsia="宋体" w:hAnsi="宋体" w:cs="Times New Roman" w:hint="eastAsia"/>
                <w:color w:val="000000"/>
                <w:sz w:val="20"/>
                <w:szCs w:val="20"/>
              </w:rPr>
            </w:pPr>
            <w:r w:rsidRPr="000F23FB">
              <w:rPr>
                <w:rFonts w:ascii="宋体" w:eastAsia="宋体" w:hAnsi="宋体" w:cs="Times New Roman" w:hint="eastAsia"/>
                <w:color w:val="000000"/>
                <w:kern w:val="0"/>
                <w:sz w:val="20"/>
                <w:szCs w:val="20"/>
              </w:rPr>
              <w:t>金额单位：万元</w:t>
            </w:r>
          </w:p>
        </w:tc>
      </w:tr>
      <w:tr w:rsidR="000F23FB" w:rsidRPr="000F23FB" w:rsidTr="000F23FB">
        <w:trPr>
          <w:trHeight w:val="478"/>
          <w:jc w:val="center"/>
        </w:trPr>
        <w:tc>
          <w:tcPr>
            <w:tcW w:w="3614"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项目</w:t>
            </w:r>
          </w:p>
        </w:tc>
        <w:tc>
          <w:tcPr>
            <w:tcW w:w="980" w:type="dxa"/>
            <w:vMerge w:val="restart"/>
            <w:tcBorders>
              <w:top w:val="single" w:sz="4" w:space="0" w:color="000000"/>
              <w:left w:val="nil"/>
              <w:bottom w:val="nil"/>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本年收入合计</w:t>
            </w:r>
          </w:p>
        </w:tc>
        <w:tc>
          <w:tcPr>
            <w:tcW w:w="1000" w:type="dxa"/>
            <w:vMerge w:val="restart"/>
            <w:tcBorders>
              <w:top w:val="single" w:sz="4" w:space="0" w:color="000000"/>
              <w:left w:val="nil"/>
              <w:bottom w:val="nil"/>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财政拨款收入</w:t>
            </w:r>
          </w:p>
        </w:tc>
        <w:tc>
          <w:tcPr>
            <w:tcW w:w="990" w:type="dxa"/>
            <w:vMerge w:val="restart"/>
            <w:tcBorders>
              <w:top w:val="single" w:sz="4" w:space="0" w:color="000000"/>
              <w:left w:val="nil"/>
              <w:bottom w:val="nil"/>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上级补助收入</w:t>
            </w:r>
          </w:p>
        </w:tc>
        <w:tc>
          <w:tcPr>
            <w:tcW w:w="950" w:type="dxa"/>
            <w:vMerge w:val="restart"/>
            <w:tcBorders>
              <w:top w:val="single" w:sz="4" w:space="0" w:color="000000"/>
              <w:left w:val="nil"/>
              <w:bottom w:val="nil"/>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事业收入</w:t>
            </w:r>
          </w:p>
        </w:tc>
        <w:tc>
          <w:tcPr>
            <w:tcW w:w="1060" w:type="dxa"/>
            <w:vMerge w:val="restart"/>
            <w:tcBorders>
              <w:top w:val="single" w:sz="4" w:space="0" w:color="000000"/>
              <w:left w:val="nil"/>
              <w:bottom w:val="nil"/>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经营收入</w:t>
            </w:r>
          </w:p>
        </w:tc>
        <w:tc>
          <w:tcPr>
            <w:tcW w:w="1077" w:type="dxa"/>
            <w:vMerge w:val="restart"/>
            <w:tcBorders>
              <w:top w:val="single" w:sz="4" w:space="0" w:color="000000"/>
              <w:left w:val="nil"/>
              <w:bottom w:val="nil"/>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附属单位上缴收入</w:t>
            </w:r>
          </w:p>
        </w:tc>
        <w:tc>
          <w:tcPr>
            <w:tcW w:w="986" w:type="dxa"/>
            <w:vMerge w:val="restart"/>
            <w:tcBorders>
              <w:top w:val="single" w:sz="4" w:space="0" w:color="000000"/>
              <w:left w:val="nil"/>
              <w:bottom w:val="nil"/>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其他收入</w:t>
            </w:r>
          </w:p>
        </w:tc>
      </w:tr>
      <w:tr w:rsidR="000F23FB" w:rsidRPr="000F23FB" w:rsidTr="000F23FB">
        <w:trPr>
          <w:trHeight w:val="578"/>
          <w:jc w:val="center"/>
        </w:trPr>
        <w:tc>
          <w:tcPr>
            <w:tcW w:w="704"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功能分类科目编码</w:t>
            </w:r>
          </w:p>
        </w:tc>
        <w:tc>
          <w:tcPr>
            <w:tcW w:w="291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科目名称</w:t>
            </w:r>
          </w:p>
        </w:tc>
        <w:tc>
          <w:tcPr>
            <w:tcW w:w="980" w:type="dxa"/>
            <w:vMerge/>
            <w:tcBorders>
              <w:top w:val="single" w:sz="4" w:space="0" w:color="000000"/>
              <w:left w:val="nil"/>
              <w:bottom w:val="nil"/>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1000" w:type="dxa"/>
            <w:vMerge/>
            <w:tcBorders>
              <w:top w:val="single" w:sz="4" w:space="0" w:color="000000"/>
              <w:left w:val="nil"/>
              <w:bottom w:val="nil"/>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990" w:type="dxa"/>
            <w:vMerge/>
            <w:tcBorders>
              <w:top w:val="single" w:sz="4" w:space="0" w:color="000000"/>
              <w:left w:val="nil"/>
              <w:bottom w:val="nil"/>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950" w:type="dxa"/>
            <w:vMerge/>
            <w:tcBorders>
              <w:top w:val="single" w:sz="4" w:space="0" w:color="000000"/>
              <w:left w:val="nil"/>
              <w:bottom w:val="nil"/>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1060" w:type="dxa"/>
            <w:vMerge/>
            <w:tcBorders>
              <w:top w:val="single" w:sz="4" w:space="0" w:color="000000"/>
              <w:left w:val="nil"/>
              <w:bottom w:val="nil"/>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1077" w:type="dxa"/>
            <w:vMerge/>
            <w:tcBorders>
              <w:top w:val="single" w:sz="4" w:space="0" w:color="000000"/>
              <w:left w:val="nil"/>
              <w:bottom w:val="nil"/>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986" w:type="dxa"/>
            <w:vMerge/>
            <w:tcBorders>
              <w:top w:val="single" w:sz="4" w:space="0" w:color="000000"/>
              <w:left w:val="nil"/>
              <w:bottom w:val="nil"/>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r>
      <w:tr w:rsidR="000F23FB" w:rsidRPr="000F23FB" w:rsidTr="000F23FB">
        <w:trPr>
          <w:trHeight w:val="253"/>
          <w:jc w:val="center"/>
        </w:trPr>
        <w:tc>
          <w:tcPr>
            <w:tcW w:w="3614" w:type="dxa"/>
            <w:gridSpan w:val="2"/>
            <w:tcBorders>
              <w:top w:val="nil"/>
              <w:left w:val="single" w:sz="4" w:space="0" w:color="000000"/>
              <w:bottom w:val="single" w:sz="4" w:space="0" w:color="000000"/>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栏次</w:t>
            </w:r>
          </w:p>
        </w:tc>
        <w:tc>
          <w:tcPr>
            <w:tcW w:w="980" w:type="dxa"/>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w:t>
            </w:r>
          </w:p>
        </w:tc>
        <w:tc>
          <w:tcPr>
            <w:tcW w:w="1000" w:type="dxa"/>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w:t>
            </w:r>
          </w:p>
        </w:tc>
        <w:tc>
          <w:tcPr>
            <w:tcW w:w="990" w:type="dxa"/>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w:t>
            </w:r>
          </w:p>
        </w:tc>
        <w:tc>
          <w:tcPr>
            <w:tcW w:w="950" w:type="dxa"/>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w:t>
            </w:r>
          </w:p>
        </w:tc>
        <w:tc>
          <w:tcPr>
            <w:tcW w:w="1060" w:type="dxa"/>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w:t>
            </w:r>
          </w:p>
        </w:tc>
        <w:tc>
          <w:tcPr>
            <w:tcW w:w="1077" w:type="dxa"/>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6</w:t>
            </w:r>
          </w:p>
        </w:tc>
        <w:tc>
          <w:tcPr>
            <w:tcW w:w="986" w:type="dxa"/>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7</w:t>
            </w:r>
          </w:p>
        </w:tc>
      </w:tr>
      <w:tr w:rsidR="000F23FB" w:rsidRPr="000F23FB" w:rsidTr="000F23FB">
        <w:trPr>
          <w:cantSplit/>
          <w:trHeight w:val="253"/>
          <w:jc w:val="center"/>
        </w:trPr>
        <w:tc>
          <w:tcPr>
            <w:tcW w:w="3614" w:type="dxa"/>
            <w:gridSpan w:val="2"/>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合计</w:t>
            </w:r>
          </w:p>
        </w:tc>
        <w:tc>
          <w:tcPr>
            <w:tcW w:w="980" w:type="dxa"/>
            <w:tcBorders>
              <w:top w:val="single" w:sz="4" w:space="0" w:color="auto"/>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b/>
                <w:bCs/>
                <w:color w:val="000000"/>
                <w:sz w:val="22"/>
              </w:rPr>
            </w:pPr>
            <w:r w:rsidRPr="000F23FB">
              <w:rPr>
                <w:rFonts w:ascii="宋体" w:eastAsia="宋体" w:hAnsi="宋体" w:cs="Times New Roman" w:hint="eastAsia"/>
                <w:b/>
                <w:bCs/>
                <w:color w:val="000000"/>
                <w:kern w:val="0"/>
                <w:sz w:val="22"/>
              </w:rPr>
              <w:t>821.50</w:t>
            </w:r>
          </w:p>
        </w:tc>
        <w:tc>
          <w:tcPr>
            <w:tcW w:w="1000" w:type="dxa"/>
            <w:tcBorders>
              <w:top w:val="single" w:sz="4" w:space="0" w:color="auto"/>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b/>
                <w:bCs/>
                <w:color w:val="000000"/>
                <w:sz w:val="22"/>
              </w:rPr>
            </w:pPr>
            <w:r w:rsidRPr="000F23FB">
              <w:rPr>
                <w:rFonts w:ascii="宋体" w:eastAsia="宋体" w:hAnsi="宋体" w:cs="Times New Roman" w:hint="eastAsia"/>
                <w:b/>
                <w:bCs/>
                <w:color w:val="000000"/>
                <w:kern w:val="0"/>
                <w:sz w:val="22"/>
              </w:rPr>
              <w:t>821.49</w:t>
            </w:r>
          </w:p>
        </w:tc>
        <w:tc>
          <w:tcPr>
            <w:tcW w:w="990" w:type="dxa"/>
            <w:tcBorders>
              <w:top w:val="single" w:sz="4" w:space="0" w:color="auto"/>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b/>
                <w:bCs/>
                <w:color w:val="000000"/>
                <w:sz w:val="22"/>
              </w:rPr>
            </w:pPr>
          </w:p>
        </w:tc>
        <w:tc>
          <w:tcPr>
            <w:tcW w:w="950" w:type="dxa"/>
            <w:tcBorders>
              <w:top w:val="single" w:sz="4" w:space="0" w:color="auto"/>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b/>
                <w:bCs/>
                <w:color w:val="000000"/>
                <w:sz w:val="22"/>
              </w:rPr>
            </w:pPr>
          </w:p>
        </w:tc>
        <w:tc>
          <w:tcPr>
            <w:tcW w:w="1060" w:type="dxa"/>
            <w:tcBorders>
              <w:top w:val="single" w:sz="4" w:space="0" w:color="auto"/>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b/>
                <w:bCs/>
                <w:color w:val="000000"/>
                <w:sz w:val="22"/>
              </w:rPr>
            </w:pPr>
          </w:p>
        </w:tc>
        <w:tc>
          <w:tcPr>
            <w:tcW w:w="1077" w:type="dxa"/>
            <w:tcBorders>
              <w:top w:val="single" w:sz="4" w:space="0" w:color="auto"/>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b/>
                <w:bCs/>
                <w:color w:val="000000"/>
                <w:sz w:val="22"/>
              </w:rPr>
            </w:pPr>
          </w:p>
        </w:tc>
        <w:tc>
          <w:tcPr>
            <w:tcW w:w="986" w:type="dxa"/>
            <w:tcBorders>
              <w:top w:val="single" w:sz="4" w:space="0" w:color="auto"/>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b/>
                <w:bCs/>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208</w:t>
            </w:r>
          </w:p>
        </w:tc>
        <w:tc>
          <w:tcPr>
            <w:tcW w:w="2910" w:type="dxa"/>
            <w:tcBorders>
              <w:top w:val="nil"/>
              <w:left w:val="nil"/>
              <w:bottom w:val="single" w:sz="4" w:space="0" w:color="000000"/>
              <w:right w:val="single" w:sz="4" w:space="0" w:color="000000"/>
            </w:tcBorders>
            <w:vAlign w:val="center"/>
          </w:tcPr>
          <w:tbl>
            <w:tblPr>
              <w:tblW w:w="0" w:type="auto"/>
              <w:tblLayout w:type="fixed"/>
              <w:tblCellMar>
                <w:left w:w="0" w:type="dxa"/>
                <w:right w:w="0" w:type="dxa"/>
              </w:tblCellMar>
              <w:tblLook w:val="04A0" w:firstRow="1" w:lastRow="0" w:firstColumn="1" w:lastColumn="0" w:noHBand="0" w:noVBand="1"/>
            </w:tblPr>
            <w:tblGrid>
              <w:gridCol w:w="4117"/>
            </w:tblGrid>
            <w:tr w:rsidR="000F23FB" w:rsidRPr="000F23FB">
              <w:trPr>
                <w:trHeight w:val="308"/>
              </w:trPr>
              <w:tc>
                <w:tcPr>
                  <w:tcW w:w="4117"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社会保障和就业支出</w:t>
                  </w:r>
                </w:p>
              </w:tc>
            </w:tr>
            <w:tr w:rsidR="000F23FB" w:rsidRPr="000F23FB">
              <w:trPr>
                <w:trHeight w:val="308"/>
              </w:trPr>
              <w:tc>
                <w:tcPr>
                  <w:tcW w:w="4117"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行政事业单位离退休</w:t>
                  </w:r>
                </w:p>
              </w:tc>
            </w:tr>
            <w:tr w:rsidR="000F23FB" w:rsidRPr="000F23FB">
              <w:trPr>
                <w:trHeight w:val="308"/>
              </w:trPr>
              <w:tc>
                <w:tcPr>
                  <w:tcW w:w="4117"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 xml:space="preserve">  机关事业单位基本养老保险缴费支出</w:t>
                  </w:r>
                </w:p>
              </w:tc>
            </w:tr>
            <w:tr w:rsidR="000F23FB" w:rsidRPr="000F23FB">
              <w:trPr>
                <w:trHeight w:val="308"/>
              </w:trPr>
              <w:tc>
                <w:tcPr>
                  <w:tcW w:w="4117"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 xml:space="preserve">  其他行政事业单位离退休支出</w:t>
                  </w:r>
                </w:p>
              </w:tc>
            </w:tr>
            <w:tr w:rsidR="000F23FB" w:rsidRPr="000F23FB">
              <w:trPr>
                <w:trHeight w:val="308"/>
              </w:trPr>
              <w:tc>
                <w:tcPr>
                  <w:tcW w:w="4117"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医疗卫生与计划生育支出</w:t>
                  </w:r>
                </w:p>
              </w:tc>
            </w:tr>
            <w:tr w:rsidR="000F23FB" w:rsidRPr="000F23FB">
              <w:trPr>
                <w:trHeight w:val="308"/>
              </w:trPr>
              <w:tc>
                <w:tcPr>
                  <w:tcW w:w="4117"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行政事业单位医疗</w:t>
                  </w:r>
                </w:p>
              </w:tc>
            </w:tr>
            <w:tr w:rsidR="000F23FB" w:rsidRPr="000F23FB">
              <w:trPr>
                <w:trHeight w:val="308"/>
              </w:trPr>
              <w:tc>
                <w:tcPr>
                  <w:tcW w:w="4117"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 xml:space="preserve">  事业单位医疗</w:t>
                  </w:r>
                </w:p>
              </w:tc>
            </w:tr>
            <w:tr w:rsidR="000F23FB" w:rsidRPr="000F23FB">
              <w:trPr>
                <w:trHeight w:val="308"/>
              </w:trPr>
              <w:tc>
                <w:tcPr>
                  <w:tcW w:w="4117"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住房保障支出</w:t>
                  </w:r>
                </w:p>
              </w:tc>
            </w:tr>
            <w:tr w:rsidR="000F23FB" w:rsidRPr="000F23FB">
              <w:trPr>
                <w:trHeight w:val="308"/>
              </w:trPr>
              <w:tc>
                <w:tcPr>
                  <w:tcW w:w="4117"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住房改革支出</w:t>
                  </w:r>
                </w:p>
              </w:tc>
            </w:tr>
            <w:tr w:rsidR="000F23FB" w:rsidRPr="000F23FB">
              <w:trPr>
                <w:trHeight w:val="308"/>
              </w:trPr>
              <w:tc>
                <w:tcPr>
                  <w:tcW w:w="4117"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 xml:space="preserve">  住房公积金</w:t>
                  </w:r>
                </w:p>
              </w:tc>
            </w:tr>
            <w:tr w:rsidR="000F23FB" w:rsidRPr="000F23FB">
              <w:trPr>
                <w:trHeight w:val="308"/>
              </w:trPr>
              <w:tc>
                <w:tcPr>
                  <w:tcW w:w="4117"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城乡社区住宅</w:t>
                  </w:r>
                </w:p>
              </w:tc>
            </w:tr>
            <w:tr w:rsidR="000F23FB" w:rsidRPr="000F23FB">
              <w:trPr>
                <w:trHeight w:val="308"/>
              </w:trPr>
              <w:tc>
                <w:tcPr>
                  <w:tcW w:w="4117"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 xml:space="preserve">  住房公积金管理</w:t>
                  </w:r>
                </w:p>
              </w:tc>
            </w:tr>
          </w:tbl>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98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33.89</w:t>
            </w:r>
          </w:p>
        </w:tc>
        <w:tc>
          <w:tcPr>
            <w:tcW w:w="10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33.89</w:t>
            </w: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20805</w:t>
            </w:r>
          </w:p>
        </w:tc>
        <w:tc>
          <w:tcPr>
            <w:tcW w:w="291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行政事业单位离退休</w:t>
            </w:r>
          </w:p>
        </w:tc>
        <w:tc>
          <w:tcPr>
            <w:tcW w:w="98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33.89</w:t>
            </w:r>
          </w:p>
        </w:tc>
        <w:tc>
          <w:tcPr>
            <w:tcW w:w="10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33.89</w:t>
            </w: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63"/>
          <w:jc w:val="center"/>
        </w:trPr>
        <w:tc>
          <w:tcPr>
            <w:tcW w:w="704"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2080505</w:t>
            </w:r>
          </w:p>
        </w:tc>
        <w:tc>
          <w:tcPr>
            <w:tcW w:w="291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机关事业单位基本养老保险缴费支出</w:t>
            </w:r>
          </w:p>
        </w:tc>
        <w:tc>
          <w:tcPr>
            <w:tcW w:w="98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12.86</w:t>
            </w:r>
          </w:p>
        </w:tc>
        <w:tc>
          <w:tcPr>
            <w:tcW w:w="10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12.86</w:t>
            </w: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2080599</w:t>
            </w:r>
          </w:p>
        </w:tc>
        <w:tc>
          <w:tcPr>
            <w:tcW w:w="2910" w:type="dxa"/>
            <w:tcBorders>
              <w:top w:val="nil"/>
              <w:left w:val="nil"/>
              <w:bottom w:val="single" w:sz="4" w:space="0" w:color="000000"/>
              <w:right w:val="single" w:sz="4" w:space="0" w:color="000000"/>
            </w:tcBorders>
            <w:vAlign w:val="center"/>
          </w:tcPr>
          <w:tbl>
            <w:tblPr>
              <w:tblW w:w="0" w:type="auto"/>
              <w:tblLayout w:type="fixed"/>
              <w:tblCellMar>
                <w:left w:w="0" w:type="dxa"/>
                <w:right w:w="0" w:type="dxa"/>
              </w:tblCellMar>
              <w:tblLook w:val="04A0" w:firstRow="1" w:lastRow="0" w:firstColumn="1" w:lastColumn="0" w:noHBand="0" w:noVBand="1"/>
            </w:tblPr>
            <w:tblGrid>
              <w:gridCol w:w="4117"/>
            </w:tblGrid>
            <w:tr w:rsidR="000F23FB" w:rsidRPr="000F23FB">
              <w:trPr>
                <w:trHeight w:val="308"/>
              </w:trPr>
              <w:tc>
                <w:tcPr>
                  <w:tcW w:w="4117"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其他行政事业单位离退休支出</w:t>
                  </w:r>
                </w:p>
              </w:tc>
            </w:tr>
            <w:tr w:rsidR="000F23FB" w:rsidRPr="000F23FB">
              <w:trPr>
                <w:trHeight w:val="308"/>
              </w:trPr>
              <w:tc>
                <w:tcPr>
                  <w:tcW w:w="4117"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医疗卫生与计划生育支出</w:t>
                  </w:r>
                </w:p>
              </w:tc>
            </w:tr>
          </w:tbl>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98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21.04</w:t>
            </w:r>
          </w:p>
        </w:tc>
        <w:tc>
          <w:tcPr>
            <w:tcW w:w="10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21.04</w:t>
            </w: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210</w:t>
            </w:r>
          </w:p>
        </w:tc>
        <w:tc>
          <w:tcPr>
            <w:tcW w:w="291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医疗卫生与计划生育支出</w:t>
            </w:r>
          </w:p>
        </w:tc>
        <w:tc>
          <w:tcPr>
            <w:tcW w:w="98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20.00</w:t>
            </w:r>
          </w:p>
        </w:tc>
        <w:tc>
          <w:tcPr>
            <w:tcW w:w="10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20.00</w:t>
            </w: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21011</w:t>
            </w:r>
          </w:p>
        </w:tc>
        <w:tc>
          <w:tcPr>
            <w:tcW w:w="291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sz w:val="22"/>
              </w:rPr>
              <w:t>行政事业单位医疗</w:t>
            </w:r>
          </w:p>
        </w:tc>
        <w:tc>
          <w:tcPr>
            <w:tcW w:w="98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20.00</w:t>
            </w:r>
          </w:p>
        </w:tc>
        <w:tc>
          <w:tcPr>
            <w:tcW w:w="10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20.00</w:t>
            </w: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2101102</w:t>
            </w:r>
          </w:p>
        </w:tc>
        <w:tc>
          <w:tcPr>
            <w:tcW w:w="291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sz w:val="22"/>
              </w:rPr>
              <w:t>事业单位医疗</w:t>
            </w:r>
          </w:p>
        </w:tc>
        <w:tc>
          <w:tcPr>
            <w:tcW w:w="98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20.00</w:t>
            </w:r>
          </w:p>
        </w:tc>
        <w:tc>
          <w:tcPr>
            <w:tcW w:w="10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20.00</w:t>
            </w: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48"/>
          <w:jc w:val="center"/>
        </w:trPr>
        <w:tc>
          <w:tcPr>
            <w:tcW w:w="704"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221</w:t>
            </w:r>
          </w:p>
        </w:tc>
        <w:tc>
          <w:tcPr>
            <w:tcW w:w="291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sz w:val="22"/>
              </w:rPr>
              <w:t>住房保障支出</w:t>
            </w:r>
          </w:p>
        </w:tc>
        <w:tc>
          <w:tcPr>
            <w:tcW w:w="98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767.61</w:t>
            </w:r>
          </w:p>
        </w:tc>
        <w:tc>
          <w:tcPr>
            <w:tcW w:w="10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767.60</w:t>
            </w: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42"/>
          <w:jc w:val="center"/>
        </w:trPr>
        <w:tc>
          <w:tcPr>
            <w:tcW w:w="704"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22102</w:t>
            </w:r>
          </w:p>
        </w:tc>
        <w:tc>
          <w:tcPr>
            <w:tcW w:w="291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sz w:val="22"/>
              </w:rPr>
              <w:t>住房改革支出</w:t>
            </w:r>
          </w:p>
        </w:tc>
        <w:tc>
          <w:tcPr>
            <w:tcW w:w="98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43.70</w:t>
            </w:r>
          </w:p>
        </w:tc>
        <w:tc>
          <w:tcPr>
            <w:tcW w:w="10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43.70</w:t>
            </w: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2210201</w:t>
            </w:r>
          </w:p>
        </w:tc>
        <w:tc>
          <w:tcPr>
            <w:tcW w:w="291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sz w:val="22"/>
              </w:rPr>
              <w:t xml:space="preserve"> 住房公积金</w:t>
            </w:r>
          </w:p>
        </w:tc>
        <w:tc>
          <w:tcPr>
            <w:tcW w:w="98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43.70</w:t>
            </w:r>
          </w:p>
        </w:tc>
        <w:tc>
          <w:tcPr>
            <w:tcW w:w="10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43.70</w:t>
            </w: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22103</w:t>
            </w:r>
          </w:p>
        </w:tc>
        <w:tc>
          <w:tcPr>
            <w:tcW w:w="291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sz w:val="22"/>
              </w:rPr>
              <w:t>城乡社区住宅</w:t>
            </w:r>
          </w:p>
        </w:tc>
        <w:tc>
          <w:tcPr>
            <w:tcW w:w="98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723.91</w:t>
            </w:r>
          </w:p>
        </w:tc>
        <w:tc>
          <w:tcPr>
            <w:tcW w:w="10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723.90</w:t>
            </w: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lastRenderedPageBreak/>
              <w:t>2210302</w:t>
            </w:r>
          </w:p>
        </w:tc>
        <w:tc>
          <w:tcPr>
            <w:tcW w:w="291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sz w:val="22"/>
              </w:rPr>
              <w:t>住房公积金管理</w:t>
            </w:r>
          </w:p>
        </w:tc>
        <w:tc>
          <w:tcPr>
            <w:tcW w:w="98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723.91</w:t>
            </w:r>
          </w:p>
        </w:tc>
        <w:tc>
          <w:tcPr>
            <w:tcW w:w="10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723.90</w:t>
            </w: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253"/>
          <w:jc w:val="center"/>
        </w:trPr>
        <w:tc>
          <w:tcPr>
            <w:tcW w:w="704"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2910" w:type="dxa"/>
            <w:tcBorders>
              <w:top w:val="nil"/>
              <w:left w:val="nil"/>
              <w:bottom w:val="single" w:sz="4" w:space="0" w:color="000000"/>
              <w:right w:val="single" w:sz="4" w:space="0" w:color="000000"/>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22"/>
              </w:rPr>
            </w:pPr>
          </w:p>
        </w:tc>
        <w:tc>
          <w:tcPr>
            <w:tcW w:w="98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0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9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5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60"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1077"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c>
          <w:tcPr>
            <w:tcW w:w="986" w:type="dxa"/>
            <w:tcBorders>
              <w:top w:val="nil"/>
              <w:left w:val="nil"/>
              <w:bottom w:val="single" w:sz="4" w:space="0" w:color="000000"/>
              <w:right w:val="single" w:sz="4" w:space="0" w:color="000000"/>
            </w:tcBorders>
            <w:vAlign w:val="center"/>
          </w:tcPr>
          <w:p w:rsidR="000F23FB" w:rsidRPr="000F23FB" w:rsidRDefault="000F23FB" w:rsidP="000F23FB">
            <w:pPr>
              <w:jc w:val="center"/>
              <w:rPr>
                <w:rFonts w:ascii="宋体" w:eastAsia="宋体" w:hAnsi="宋体" w:cs="Times New Roman" w:hint="eastAsia"/>
                <w:color w:val="000000"/>
                <w:sz w:val="22"/>
              </w:rPr>
            </w:pPr>
          </w:p>
        </w:tc>
      </w:tr>
      <w:tr w:rsidR="000F23FB" w:rsidRPr="000F23FB" w:rsidTr="000F23FB">
        <w:trPr>
          <w:cantSplit/>
          <w:trHeight w:val="341"/>
          <w:jc w:val="center"/>
        </w:trPr>
        <w:tc>
          <w:tcPr>
            <w:tcW w:w="10657" w:type="dxa"/>
            <w:gridSpan w:val="9"/>
            <w:tcBorders>
              <w:top w:val="nil"/>
              <w:left w:val="nil"/>
              <w:bottom w:val="nil"/>
              <w:right w:val="nil"/>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18"/>
                <w:szCs w:val="18"/>
              </w:rPr>
              <w:t>注：本表反映部门本年度取得的各项收入情况。本表金额转换为万元时，因四舍五入可能存在尾差。</w:t>
            </w:r>
          </w:p>
        </w:tc>
      </w:tr>
    </w:tbl>
    <w:p w:rsidR="000F23FB" w:rsidRPr="000F23FB" w:rsidRDefault="000F23FB" w:rsidP="000F23FB">
      <w:pPr>
        <w:widowControl/>
        <w:jc w:val="center"/>
        <w:rPr>
          <w:rFonts w:ascii="宋体" w:eastAsia="宋体" w:hAnsi="宋体" w:cs="宋体"/>
          <w:vanish/>
          <w:kern w:val="0"/>
          <w:sz w:val="24"/>
          <w:szCs w:val="24"/>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972"/>
        <w:gridCol w:w="2197"/>
        <w:gridCol w:w="1355"/>
        <w:gridCol w:w="1170"/>
        <w:gridCol w:w="1290"/>
        <w:gridCol w:w="1350"/>
        <w:gridCol w:w="1005"/>
        <w:gridCol w:w="1149"/>
      </w:tblGrid>
      <w:tr w:rsidR="000F23FB" w:rsidRPr="000F23FB" w:rsidTr="000F23FB">
        <w:trPr>
          <w:trHeight w:val="757"/>
          <w:jc w:val="center"/>
        </w:trPr>
        <w:tc>
          <w:tcPr>
            <w:tcW w:w="10488" w:type="dxa"/>
            <w:gridSpan w:val="8"/>
            <w:tcBorders>
              <w:top w:val="nil"/>
              <w:left w:val="nil"/>
              <w:bottom w:val="nil"/>
              <w:right w:val="nil"/>
            </w:tcBorders>
            <w:vAlign w:val="bottom"/>
          </w:tcPr>
          <w:p w:rsidR="000F23FB" w:rsidRPr="000F23FB" w:rsidRDefault="000F23FB" w:rsidP="000F23FB">
            <w:pPr>
              <w:autoSpaceDE w:val="0"/>
              <w:spacing w:before="100" w:beforeAutospacing="1" w:after="100" w:afterAutospacing="1" w:line="560" w:lineRule="exact"/>
              <w:jc w:val="center"/>
              <w:rPr>
                <w:rFonts w:ascii="黑体" w:eastAsia="黑体" w:hAnsi="黑体" w:cs="Times New Roman" w:hint="eastAsia"/>
                <w:sz w:val="32"/>
                <w:szCs w:val="32"/>
              </w:rPr>
            </w:pPr>
            <w:bookmarkStart w:id="14" w:name="_Toc24808"/>
            <w:r w:rsidRPr="000F23FB">
              <w:rPr>
                <w:rFonts w:ascii="黑体" w:eastAsia="黑体" w:hAnsi="黑体" w:cs="Times New Roman" w:hint="eastAsia"/>
                <w:sz w:val="32"/>
                <w:szCs w:val="32"/>
              </w:rPr>
              <w:t>支出决算表</w:t>
            </w:r>
            <w:bookmarkEnd w:id="14"/>
          </w:p>
          <w:p w:rsidR="000F23FB" w:rsidRPr="000F23FB" w:rsidRDefault="000F23FB" w:rsidP="000F23FB">
            <w:pPr>
              <w:rPr>
                <w:rFonts w:ascii="Arial" w:eastAsia="宋体" w:hAnsi="Arial" w:cs="Arial" w:hint="eastAsia"/>
                <w:color w:val="000000"/>
                <w:sz w:val="20"/>
                <w:szCs w:val="20"/>
              </w:rPr>
            </w:pPr>
          </w:p>
        </w:tc>
      </w:tr>
      <w:tr w:rsidR="000F23FB" w:rsidRPr="000F23FB" w:rsidTr="000F23FB">
        <w:trPr>
          <w:trHeight w:val="268"/>
          <w:jc w:val="center"/>
        </w:trPr>
        <w:tc>
          <w:tcPr>
            <w:tcW w:w="10488" w:type="dxa"/>
            <w:gridSpan w:val="8"/>
            <w:tcBorders>
              <w:top w:val="nil"/>
              <w:left w:val="nil"/>
              <w:bottom w:val="nil"/>
              <w:right w:val="nil"/>
            </w:tcBorders>
            <w:vAlign w:val="bottom"/>
            <w:hideMark/>
          </w:tcPr>
          <w:p w:rsidR="000F23FB" w:rsidRPr="000F23FB" w:rsidRDefault="000F23FB" w:rsidP="000F23FB">
            <w:pPr>
              <w:widowControl/>
              <w:jc w:val="right"/>
              <w:textAlignment w:val="bottom"/>
              <w:rPr>
                <w:rFonts w:ascii="宋体" w:eastAsia="宋体" w:hAnsi="宋体" w:cs="Times New Roman"/>
                <w:color w:val="000000"/>
                <w:sz w:val="20"/>
                <w:szCs w:val="20"/>
              </w:rPr>
            </w:pPr>
            <w:r w:rsidRPr="000F23FB">
              <w:rPr>
                <w:rFonts w:ascii="宋体" w:eastAsia="宋体" w:hAnsi="宋体" w:cs="Times New Roman" w:hint="eastAsia"/>
                <w:color w:val="000000"/>
                <w:kern w:val="0"/>
                <w:sz w:val="20"/>
                <w:szCs w:val="20"/>
              </w:rPr>
              <w:t>公开03表</w:t>
            </w:r>
          </w:p>
        </w:tc>
      </w:tr>
      <w:tr w:rsidR="000F23FB" w:rsidRPr="000F23FB" w:rsidTr="000F23FB">
        <w:trPr>
          <w:trHeight w:val="268"/>
          <w:jc w:val="center"/>
        </w:trPr>
        <w:tc>
          <w:tcPr>
            <w:tcW w:w="3169" w:type="dxa"/>
            <w:gridSpan w:val="2"/>
            <w:tcBorders>
              <w:top w:val="nil"/>
              <w:left w:val="nil"/>
              <w:bottom w:val="nil"/>
              <w:right w:val="nil"/>
            </w:tcBorders>
            <w:vAlign w:val="bottom"/>
            <w:hideMark/>
          </w:tcPr>
          <w:p w:rsidR="000F23FB" w:rsidRPr="000F23FB" w:rsidRDefault="000F23FB" w:rsidP="000F23FB">
            <w:pPr>
              <w:rPr>
                <w:rFonts w:ascii="Arial" w:eastAsia="宋体" w:hAnsi="Arial" w:cs="Arial" w:hint="eastAsia"/>
                <w:color w:val="000000"/>
                <w:sz w:val="20"/>
                <w:szCs w:val="20"/>
              </w:rPr>
            </w:pPr>
            <w:r w:rsidRPr="000F23FB">
              <w:rPr>
                <w:rFonts w:ascii="宋体" w:eastAsia="宋体" w:hAnsi="宋体" w:cs="Times New Roman" w:hint="eastAsia"/>
                <w:color w:val="000000"/>
                <w:kern w:val="0"/>
                <w:sz w:val="20"/>
                <w:szCs w:val="20"/>
              </w:rPr>
              <w:t>部门：双鸭山市住房公积金管理中心</w:t>
            </w:r>
          </w:p>
        </w:tc>
        <w:tc>
          <w:tcPr>
            <w:tcW w:w="3815" w:type="dxa"/>
            <w:gridSpan w:val="3"/>
            <w:tcBorders>
              <w:top w:val="nil"/>
              <w:left w:val="nil"/>
              <w:bottom w:val="nil"/>
              <w:right w:val="nil"/>
            </w:tcBorders>
            <w:vAlign w:val="bottom"/>
            <w:hideMark/>
          </w:tcPr>
          <w:p w:rsidR="000F23FB" w:rsidRPr="000F23FB" w:rsidRDefault="000F23FB" w:rsidP="000F23FB">
            <w:pPr>
              <w:rPr>
                <w:rFonts w:ascii="Arial" w:eastAsia="宋体" w:hAnsi="Arial" w:cs="Arial"/>
                <w:color w:val="000000"/>
                <w:sz w:val="20"/>
                <w:szCs w:val="20"/>
              </w:rPr>
            </w:pPr>
            <w:r w:rsidRPr="000F23FB">
              <w:rPr>
                <w:rFonts w:ascii="Arial" w:eastAsia="宋体" w:hAnsi="Arial" w:cs="Arial" w:hint="eastAsia"/>
                <w:color w:val="000000"/>
                <w:sz w:val="20"/>
                <w:szCs w:val="20"/>
              </w:rPr>
              <w:t>2018</w:t>
            </w:r>
            <w:r w:rsidRPr="000F23FB">
              <w:rPr>
                <w:rFonts w:ascii="宋体" w:eastAsia="宋体" w:hAnsi="宋体" w:cs="Arial" w:hint="eastAsia"/>
                <w:color w:val="000000"/>
                <w:sz w:val="20"/>
                <w:szCs w:val="20"/>
              </w:rPr>
              <w:t>年度</w:t>
            </w:r>
          </w:p>
        </w:tc>
        <w:tc>
          <w:tcPr>
            <w:tcW w:w="3504" w:type="dxa"/>
            <w:gridSpan w:val="3"/>
            <w:tcBorders>
              <w:top w:val="nil"/>
              <w:left w:val="nil"/>
              <w:bottom w:val="nil"/>
              <w:right w:val="nil"/>
            </w:tcBorders>
            <w:vAlign w:val="bottom"/>
            <w:hideMark/>
          </w:tcPr>
          <w:p w:rsidR="000F23FB" w:rsidRPr="000F23FB" w:rsidRDefault="000F23FB" w:rsidP="000F23FB">
            <w:pPr>
              <w:widowControl/>
              <w:jc w:val="right"/>
              <w:textAlignment w:val="bottom"/>
              <w:rPr>
                <w:rFonts w:ascii="宋体" w:eastAsia="宋体" w:hAnsi="宋体" w:cs="Times New Roman"/>
                <w:color w:val="000000"/>
                <w:sz w:val="20"/>
                <w:szCs w:val="20"/>
              </w:rPr>
            </w:pPr>
            <w:r w:rsidRPr="000F23FB">
              <w:rPr>
                <w:rFonts w:ascii="宋体" w:eastAsia="宋体" w:hAnsi="宋体" w:cs="Times New Roman" w:hint="eastAsia"/>
                <w:color w:val="000000"/>
                <w:kern w:val="0"/>
                <w:sz w:val="20"/>
                <w:szCs w:val="20"/>
              </w:rPr>
              <w:t>金额单位：万元</w:t>
            </w:r>
          </w:p>
        </w:tc>
      </w:tr>
      <w:tr w:rsidR="000F23FB" w:rsidRPr="000F23FB" w:rsidTr="000F23FB">
        <w:trPr>
          <w:trHeight w:val="268"/>
          <w:jc w:val="center"/>
        </w:trPr>
        <w:tc>
          <w:tcPr>
            <w:tcW w:w="316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项目</w:t>
            </w:r>
          </w:p>
        </w:tc>
        <w:tc>
          <w:tcPr>
            <w:tcW w:w="1355" w:type="dxa"/>
            <w:vMerge w:val="restart"/>
            <w:tcBorders>
              <w:top w:val="single" w:sz="4" w:space="0" w:color="000000"/>
              <w:left w:val="nil"/>
              <w:bottom w:val="nil"/>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本年支出合计</w:t>
            </w:r>
          </w:p>
        </w:tc>
        <w:tc>
          <w:tcPr>
            <w:tcW w:w="1170" w:type="dxa"/>
            <w:vMerge w:val="restart"/>
            <w:tcBorders>
              <w:top w:val="single" w:sz="4" w:space="0" w:color="000000"/>
              <w:left w:val="nil"/>
              <w:bottom w:val="nil"/>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基本支出</w:t>
            </w:r>
          </w:p>
        </w:tc>
        <w:tc>
          <w:tcPr>
            <w:tcW w:w="1290" w:type="dxa"/>
            <w:vMerge w:val="restart"/>
            <w:tcBorders>
              <w:top w:val="single" w:sz="4" w:space="0" w:color="000000"/>
              <w:left w:val="nil"/>
              <w:bottom w:val="nil"/>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项目支出</w:t>
            </w:r>
          </w:p>
        </w:tc>
        <w:tc>
          <w:tcPr>
            <w:tcW w:w="1350" w:type="dxa"/>
            <w:vMerge w:val="restart"/>
            <w:tcBorders>
              <w:top w:val="single" w:sz="4" w:space="0" w:color="000000"/>
              <w:left w:val="nil"/>
              <w:bottom w:val="nil"/>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上缴上级支出</w:t>
            </w:r>
          </w:p>
        </w:tc>
        <w:tc>
          <w:tcPr>
            <w:tcW w:w="1005" w:type="dxa"/>
            <w:vMerge w:val="restart"/>
            <w:tcBorders>
              <w:top w:val="single" w:sz="4" w:space="0" w:color="000000"/>
              <w:left w:val="nil"/>
              <w:bottom w:val="nil"/>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经营支出</w:t>
            </w:r>
          </w:p>
        </w:tc>
        <w:tc>
          <w:tcPr>
            <w:tcW w:w="1149" w:type="dxa"/>
            <w:vMerge w:val="restart"/>
            <w:tcBorders>
              <w:top w:val="single" w:sz="4" w:space="0" w:color="000000"/>
              <w:left w:val="nil"/>
              <w:bottom w:val="nil"/>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对附属单位补助支出</w:t>
            </w:r>
          </w:p>
        </w:tc>
      </w:tr>
      <w:tr w:rsidR="000F23FB" w:rsidRPr="000F23FB" w:rsidTr="000F23FB">
        <w:trPr>
          <w:trHeight w:val="599"/>
          <w:jc w:val="center"/>
        </w:trPr>
        <w:tc>
          <w:tcPr>
            <w:tcW w:w="972"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lastRenderedPageBreak/>
              <w:t>功能分类科目编码</w:t>
            </w:r>
          </w:p>
        </w:tc>
        <w:tc>
          <w:tcPr>
            <w:tcW w:w="219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科目名称</w:t>
            </w:r>
          </w:p>
        </w:tc>
        <w:tc>
          <w:tcPr>
            <w:tcW w:w="3815" w:type="dxa"/>
            <w:vMerge/>
            <w:tcBorders>
              <w:top w:val="single" w:sz="4" w:space="0" w:color="000000"/>
              <w:left w:val="nil"/>
              <w:bottom w:val="nil"/>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1170" w:type="dxa"/>
            <w:vMerge/>
            <w:tcBorders>
              <w:top w:val="single" w:sz="4" w:space="0" w:color="000000"/>
              <w:left w:val="nil"/>
              <w:bottom w:val="nil"/>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1290" w:type="dxa"/>
            <w:vMerge/>
            <w:tcBorders>
              <w:top w:val="single" w:sz="4" w:space="0" w:color="000000"/>
              <w:left w:val="nil"/>
              <w:bottom w:val="nil"/>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3504" w:type="dxa"/>
            <w:vMerge/>
            <w:tcBorders>
              <w:top w:val="single" w:sz="4" w:space="0" w:color="000000"/>
              <w:left w:val="nil"/>
              <w:bottom w:val="nil"/>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1005" w:type="dxa"/>
            <w:vMerge/>
            <w:tcBorders>
              <w:top w:val="single" w:sz="4" w:space="0" w:color="000000"/>
              <w:left w:val="nil"/>
              <w:bottom w:val="nil"/>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1149" w:type="dxa"/>
            <w:vMerge/>
            <w:tcBorders>
              <w:top w:val="single" w:sz="4" w:space="0" w:color="000000"/>
              <w:left w:val="nil"/>
              <w:bottom w:val="nil"/>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r>
      <w:tr w:rsidR="000F23FB" w:rsidRPr="000F23FB" w:rsidTr="000F23FB">
        <w:trPr>
          <w:trHeight w:val="268"/>
          <w:jc w:val="center"/>
        </w:trPr>
        <w:tc>
          <w:tcPr>
            <w:tcW w:w="3169" w:type="dxa"/>
            <w:gridSpan w:val="2"/>
            <w:tcBorders>
              <w:top w:val="nil"/>
              <w:left w:val="single" w:sz="4" w:space="0" w:color="000000"/>
              <w:bottom w:val="single" w:sz="4" w:space="0" w:color="000000"/>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lastRenderedPageBreak/>
              <w:t>栏次</w:t>
            </w:r>
          </w:p>
        </w:tc>
        <w:tc>
          <w:tcPr>
            <w:tcW w:w="1355" w:type="dxa"/>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w:t>
            </w:r>
          </w:p>
        </w:tc>
        <w:tc>
          <w:tcPr>
            <w:tcW w:w="1170" w:type="dxa"/>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w:t>
            </w:r>
          </w:p>
        </w:tc>
        <w:tc>
          <w:tcPr>
            <w:tcW w:w="1290" w:type="dxa"/>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w:t>
            </w:r>
          </w:p>
        </w:tc>
        <w:tc>
          <w:tcPr>
            <w:tcW w:w="1350" w:type="dxa"/>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w:t>
            </w:r>
          </w:p>
        </w:tc>
        <w:tc>
          <w:tcPr>
            <w:tcW w:w="1005" w:type="dxa"/>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w:t>
            </w:r>
          </w:p>
        </w:tc>
        <w:tc>
          <w:tcPr>
            <w:tcW w:w="1149" w:type="dxa"/>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6</w:t>
            </w:r>
          </w:p>
        </w:tc>
      </w:tr>
      <w:tr w:rsidR="000F23FB" w:rsidRPr="000F23FB" w:rsidTr="000F23FB">
        <w:trPr>
          <w:trHeight w:val="268"/>
          <w:jc w:val="center"/>
        </w:trPr>
        <w:tc>
          <w:tcPr>
            <w:tcW w:w="3169" w:type="dxa"/>
            <w:gridSpan w:val="2"/>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合计</w:t>
            </w:r>
          </w:p>
        </w:tc>
        <w:tc>
          <w:tcPr>
            <w:tcW w:w="1355" w:type="dxa"/>
            <w:tcBorders>
              <w:top w:val="single" w:sz="4" w:space="0" w:color="auto"/>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b/>
                <w:bCs/>
                <w:color w:val="000000"/>
                <w:sz w:val="22"/>
              </w:rPr>
            </w:pPr>
            <w:r w:rsidRPr="000F23FB">
              <w:rPr>
                <w:rFonts w:ascii="宋体" w:eastAsia="宋体" w:hAnsi="宋体" w:cs="Times New Roman" w:hint="eastAsia"/>
                <w:b/>
                <w:bCs/>
                <w:color w:val="000000"/>
                <w:kern w:val="0"/>
                <w:sz w:val="22"/>
              </w:rPr>
              <w:t>807.08</w:t>
            </w:r>
          </w:p>
        </w:tc>
        <w:tc>
          <w:tcPr>
            <w:tcW w:w="1170" w:type="dxa"/>
            <w:tcBorders>
              <w:top w:val="single" w:sz="4" w:space="0" w:color="auto"/>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b/>
                <w:bCs/>
                <w:color w:val="000000"/>
                <w:sz w:val="22"/>
              </w:rPr>
            </w:pPr>
            <w:r w:rsidRPr="000F23FB">
              <w:rPr>
                <w:rFonts w:ascii="宋体" w:eastAsia="宋体" w:hAnsi="宋体" w:cs="Times New Roman" w:hint="eastAsia"/>
                <w:b/>
                <w:bCs/>
                <w:color w:val="000000"/>
                <w:kern w:val="0"/>
                <w:sz w:val="22"/>
              </w:rPr>
              <w:t>687.52</w:t>
            </w:r>
          </w:p>
        </w:tc>
        <w:tc>
          <w:tcPr>
            <w:tcW w:w="1290" w:type="dxa"/>
            <w:tcBorders>
              <w:top w:val="single" w:sz="4" w:space="0" w:color="auto"/>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b/>
                <w:bCs/>
                <w:color w:val="000000"/>
                <w:sz w:val="22"/>
              </w:rPr>
            </w:pPr>
            <w:r w:rsidRPr="000F23FB">
              <w:rPr>
                <w:rFonts w:ascii="宋体" w:eastAsia="宋体" w:hAnsi="宋体" w:cs="Times New Roman" w:hint="eastAsia"/>
                <w:b/>
                <w:bCs/>
                <w:color w:val="000000"/>
                <w:kern w:val="0"/>
                <w:sz w:val="22"/>
              </w:rPr>
              <w:t>119.57</w:t>
            </w:r>
          </w:p>
        </w:tc>
        <w:tc>
          <w:tcPr>
            <w:tcW w:w="1350" w:type="dxa"/>
            <w:tcBorders>
              <w:top w:val="single" w:sz="4" w:space="0" w:color="auto"/>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b/>
                <w:bCs/>
                <w:color w:val="000000"/>
                <w:sz w:val="22"/>
              </w:rPr>
            </w:pPr>
            <w:r w:rsidRPr="000F23FB">
              <w:rPr>
                <w:rFonts w:ascii="宋体" w:eastAsia="宋体" w:hAnsi="宋体" w:cs="Times New Roman" w:hint="eastAsia"/>
                <w:b/>
                <w:bCs/>
                <w:color w:val="000000"/>
                <w:kern w:val="0"/>
                <w:sz w:val="22"/>
              </w:rPr>
              <w:t>0.00</w:t>
            </w:r>
          </w:p>
        </w:tc>
        <w:tc>
          <w:tcPr>
            <w:tcW w:w="1005" w:type="dxa"/>
            <w:tcBorders>
              <w:top w:val="single" w:sz="4" w:space="0" w:color="auto"/>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b/>
                <w:bCs/>
                <w:color w:val="000000"/>
                <w:sz w:val="22"/>
              </w:rPr>
            </w:pPr>
            <w:r w:rsidRPr="000F23FB">
              <w:rPr>
                <w:rFonts w:ascii="宋体" w:eastAsia="宋体" w:hAnsi="宋体" w:cs="Times New Roman" w:hint="eastAsia"/>
                <w:b/>
                <w:bCs/>
                <w:color w:val="000000"/>
                <w:kern w:val="0"/>
                <w:sz w:val="22"/>
              </w:rPr>
              <w:t>0.00</w:t>
            </w:r>
          </w:p>
        </w:tc>
        <w:tc>
          <w:tcPr>
            <w:tcW w:w="1149" w:type="dxa"/>
            <w:tcBorders>
              <w:top w:val="single" w:sz="4" w:space="0" w:color="auto"/>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b/>
                <w:bCs/>
                <w:color w:val="000000"/>
                <w:sz w:val="22"/>
              </w:rPr>
            </w:pPr>
            <w:r w:rsidRPr="000F23FB">
              <w:rPr>
                <w:rFonts w:ascii="宋体" w:eastAsia="宋体" w:hAnsi="宋体" w:cs="Times New Roman" w:hint="eastAsia"/>
                <w:b/>
                <w:bCs/>
                <w:color w:val="000000"/>
                <w:kern w:val="0"/>
                <w:sz w:val="22"/>
              </w:rPr>
              <w:t>0.00</w:t>
            </w: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208</w:t>
            </w:r>
          </w:p>
        </w:tc>
        <w:tc>
          <w:tcPr>
            <w:tcW w:w="2197"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社会保障和就业支出</w:t>
            </w:r>
          </w:p>
        </w:tc>
        <w:tc>
          <w:tcPr>
            <w:tcW w:w="135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32.13</w:t>
            </w:r>
          </w:p>
        </w:tc>
        <w:tc>
          <w:tcPr>
            <w:tcW w:w="117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32.13</w:t>
            </w:r>
          </w:p>
        </w:tc>
        <w:tc>
          <w:tcPr>
            <w:tcW w:w="129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35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00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14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20805</w:t>
            </w:r>
          </w:p>
        </w:tc>
        <w:tc>
          <w:tcPr>
            <w:tcW w:w="2197"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行政事业单位离退休</w:t>
            </w:r>
          </w:p>
        </w:tc>
        <w:tc>
          <w:tcPr>
            <w:tcW w:w="135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32.13</w:t>
            </w:r>
          </w:p>
        </w:tc>
        <w:tc>
          <w:tcPr>
            <w:tcW w:w="117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32.13</w:t>
            </w:r>
          </w:p>
        </w:tc>
        <w:tc>
          <w:tcPr>
            <w:tcW w:w="129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35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00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14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2080505</w:t>
            </w:r>
          </w:p>
        </w:tc>
        <w:tc>
          <w:tcPr>
            <w:tcW w:w="2197"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机关事业单位基本养老保险缴费支出</w:t>
            </w:r>
          </w:p>
        </w:tc>
        <w:tc>
          <w:tcPr>
            <w:tcW w:w="135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12.86</w:t>
            </w:r>
          </w:p>
        </w:tc>
        <w:tc>
          <w:tcPr>
            <w:tcW w:w="117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12.86</w:t>
            </w:r>
          </w:p>
        </w:tc>
        <w:tc>
          <w:tcPr>
            <w:tcW w:w="129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35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00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14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2080599</w:t>
            </w:r>
          </w:p>
        </w:tc>
        <w:tc>
          <w:tcPr>
            <w:tcW w:w="2197"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其他行政事业单位离退休支出</w:t>
            </w:r>
          </w:p>
        </w:tc>
        <w:tc>
          <w:tcPr>
            <w:tcW w:w="135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19.27</w:t>
            </w:r>
          </w:p>
        </w:tc>
        <w:tc>
          <w:tcPr>
            <w:tcW w:w="117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19.27</w:t>
            </w:r>
          </w:p>
        </w:tc>
        <w:tc>
          <w:tcPr>
            <w:tcW w:w="129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35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00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14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210</w:t>
            </w:r>
          </w:p>
        </w:tc>
        <w:tc>
          <w:tcPr>
            <w:tcW w:w="2197"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医疗卫生与计划生育支出</w:t>
            </w:r>
          </w:p>
        </w:tc>
        <w:tc>
          <w:tcPr>
            <w:tcW w:w="135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19.95</w:t>
            </w:r>
          </w:p>
        </w:tc>
        <w:tc>
          <w:tcPr>
            <w:tcW w:w="117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19.95</w:t>
            </w:r>
          </w:p>
        </w:tc>
        <w:tc>
          <w:tcPr>
            <w:tcW w:w="129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35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00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14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21011</w:t>
            </w:r>
          </w:p>
        </w:tc>
        <w:tc>
          <w:tcPr>
            <w:tcW w:w="2197"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行政事业单位医疗</w:t>
            </w:r>
          </w:p>
        </w:tc>
        <w:tc>
          <w:tcPr>
            <w:tcW w:w="135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19.95</w:t>
            </w:r>
          </w:p>
        </w:tc>
        <w:tc>
          <w:tcPr>
            <w:tcW w:w="117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19.95</w:t>
            </w:r>
          </w:p>
        </w:tc>
        <w:tc>
          <w:tcPr>
            <w:tcW w:w="129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35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00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14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2101102</w:t>
            </w:r>
          </w:p>
        </w:tc>
        <w:tc>
          <w:tcPr>
            <w:tcW w:w="2197"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事业单位医疗</w:t>
            </w:r>
          </w:p>
        </w:tc>
        <w:tc>
          <w:tcPr>
            <w:tcW w:w="135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19.95</w:t>
            </w:r>
          </w:p>
        </w:tc>
        <w:tc>
          <w:tcPr>
            <w:tcW w:w="117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19.95</w:t>
            </w:r>
          </w:p>
        </w:tc>
        <w:tc>
          <w:tcPr>
            <w:tcW w:w="129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35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00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14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63"/>
          <w:jc w:val="center"/>
        </w:trPr>
        <w:tc>
          <w:tcPr>
            <w:tcW w:w="972"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221</w:t>
            </w:r>
          </w:p>
        </w:tc>
        <w:tc>
          <w:tcPr>
            <w:tcW w:w="2197"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住房保障支出</w:t>
            </w:r>
          </w:p>
        </w:tc>
        <w:tc>
          <w:tcPr>
            <w:tcW w:w="135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755.01</w:t>
            </w:r>
          </w:p>
        </w:tc>
        <w:tc>
          <w:tcPr>
            <w:tcW w:w="117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635.44</w:t>
            </w:r>
          </w:p>
        </w:tc>
        <w:tc>
          <w:tcPr>
            <w:tcW w:w="129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119.57</w:t>
            </w:r>
          </w:p>
        </w:tc>
        <w:tc>
          <w:tcPr>
            <w:tcW w:w="135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00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14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22102</w:t>
            </w:r>
          </w:p>
        </w:tc>
        <w:tc>
          <w:tcPr>
            <w:tcW w:w="2197"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住房改革支出</w:t>
            </w:r>
          </w:p>
        </w:tc>
        <w:tc>
          <w:tcPr>
            <w:tcW w:w="135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43.62</w:t>
            </w:r>
          </w:p>
        </w:tc>
        <w:tc>
          <w:tcPr>
            <w:tcW w:w="117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43.62</w:t>
            </w:r>
          </w:p>
        </w:tc>
        <w:tc>
          <w:tcPr>
            <w:tcW w:w="129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35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00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14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2210201</w:t>
            </w:r>
          </w:p>
        </w:tc>
        <w:tc>
          <w:tcPr>
            <w:tcW w:w="2197"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住房公积金</w:t>
            </w:r>
          </w:p>
        </w:tc>
        <w:tc>
          <w:tcPr>
            <w:tcW w:w="135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43.62</w:t>
            </w:r>
          </w:p>
        </w:tc>
        <w:tc>
          <w:tcPr>
            <w:tcW w:w="117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43.62</w:t>
            </w:r>
          </w:p>
        </w:tc>
        <w:tc>
          <w:tcPr>
            <w:tcW w:w="129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35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00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14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22103</w:t>
            </w:r>
          </w:p>
        </w:tc>
        <w:tc>
          <w:tcPr>
            <w:tcW w:w="2197"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城乡社区住宅</w:t>
            </w:r>
          </w:p>
        </w:tc>
        <w:tc>
          <w:tcPr>
            <w:tcW w:w="135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711.39</w:t>
            </w:r>
          </w:p>
        </w:tc>
        <w:tc>
          <w:tcPr>
            <w:tcW w:w="117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591.83</w:t>
            </w:r>
          </w:p>
        </w:tc>
        <w:tc>
          <w:tcPr>
            <w:tcW w:w="129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119.57</w:t>
            </w:r>
          </w:p>
        </w:tc>
        <w:tc>
          <w:tcPr>
            <w:tcW w:w="135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00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14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2210302</w:t>
            </w:r>
          </w:p>
        </w:tc>
        <w:tc>
          <w:tcPr>
            <w:tcW w:w="2197"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住房公积金管理</w:t>
            </w:r>
          </w:p>
        </w:tc>
        <w:tc>
          <w:tcPr>
            <w:tcW w:w="135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711.39</w:t>
            </w:r>
          </w:p>
        </w:tc>
        <w:tc>
          <w:tcPr>
            <w:tcW w:w="117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591.83</w:t>
            </w:r>
          </w:p>
        </w:tc>
        <w:tc>
          <w:tcPr>
            <w:tcW w:w="129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119.57</w:t>
            </w:r>
          </w:p>
        </w:tc>
        <w:tc>
          <w:tcPr>
            <w:tcW w:w="135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00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14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972"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197"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35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7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0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4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68"/>
          <w:jc w:val="center"/>
        </w:trPr>
        <w:tc>
          <w:tcPr>
            <w:tcW w:w="10488" w:type="dxa"/>
            <w:gridSpan w:val="8"/>
            <w:tcBorders>
              <w:top w:val="nil"/>
              <w:left w:val="nil"/>
              <w:bottom w:val="nil"/>
              <w:right w:val="nil"/>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18"/>
                <w:szCs w:val="18"/>
              </w:rPr>
              <w:t>注：本表反映部门本年度各项支出情况。本表金额转换为万元时，因四舍五入可能存在尾差。</w:t>
            </w:r>
          </w:p>
        </w:tc>
      </w:tr>
    </w:tbl>
    <w:p w:rsidR="000F23FB" w:rsidRPr="000F23FB" w:rsidRDefault="000F23FB" w:rsidP="000F23FB">
      <w:pPr>
        <w:widowControl/>
        <w:jc w:val="left"/>
        <w:rPr>
          <w:rFonts w:ascii="宋体" w:eastAsia="宋体" w:hAnsi="宋体" w:cs="宋体"/>
          <w:vanish/>
          <w:kern w:val="0"/>
          <w:sz w:val="24"/>
          <w:szCs w:val="24"/>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852"/>
        <w:gridCol w:w="345"/>
        <w:gridCol w:w="1050"/>
        <w:gridCol w:w="2865"/>
        <w:gridCol w:w="450"/>
        <w:gridCol w:w="794"/>
        <w:gridCol w:w="1229"/>
        <w:gridCol w:w="903"/>
      </w:tblGrid>
      <w:tr w:rsidR="000F23FB" w:rsidRPr="000F23FB" w:rsidTr="000F23FB">
        <w:trPr>
          <w:trHeight w:val="776"/>
          <w:jc w:val="center"/>
        </w:trPr>
        <w:tc>
          <w:tcPr>
            <w:tcW w:w="10488" w:type="dxa"/>
            <w:gridSpan w:val="8"/>
            <w:tcBorders>
              <w:top w:val="nil"/>
              <w:left w:val="nil"/>
              <w:bottom w:val="nil"/>
              <w:right w:val="nil"/>
            </w:tcBorders>
            <w:vAlign w:val="bottom"/>
          </w:tcPr>
          <w:p w:rsidR="000F23FB" w:rsidRPr="000F23FB" w:rsidRDefault="000F23FB" w:rsidP="000F23FB">
            <w:pPr>
              <w:autoSpaceDE w:val="0"/>
              <w:spacing w:before="100" w:beforeAutospacing="1" w:after="100" w:afterAutospacing="1" w:line="560" w:lineRule="exact"/>
              <w:jc w:val="center"/>
              <w:rPr>
                <w:rFonts w:ascii="黑体" w:eastAsia="黑体" w:hAnsi="黑体" w:cs="Times New Roman" w:hint="eastAsia"/>
                <w:sz w:val="32"/>
                <w:szCs w:val="32"/>
              </w:rPr>
            </w:pPr>
            <w:bookmarkStart w:id="15" w:name="_Toc12563"/>
            <w:r w:rsidRPr="000F23FB">
              <w:rPr>
                <w:rFonts w:ascii="黑体" w:eastAsia="黑体" w:hAnsi="黑体" w:cs="Times New Roman" w:hint="eastAsia"/>
                <w:sz w:val="32"/>
                <w:szCs w:val="32"/>
              </w:rPr>
              <w:t>财政拨款收入支出决算总表</w:t>
            </w:r>
            <w:bookmarkEnd w:id="15"/>
          </w:p>
          <w:p w:rsidR="000F23FB" w:rsidRPr="000F23FB" w:rsidRDefault="000F23FB" w:rsidP="000F23FB">
            <w:pPr>
              <w:rPr>
                <w:rFonts w:ascii="Arial" w:eastAsia="宋体" w:hAnsi="Arial" w:cs="Arial" w:hint="eastAsia"/>
                <w:color w:val="000000"/>
                <w:sz w:val="20"/>
                <w:szCs w:val="20"/>
              </w:rPr>
            </w:pPr>
          </w:p>
        </w:tc>
      </w:tr>
      <w:tr w:rsidR="000F23FB" w:rsidRPr="000F23FB" w:rsidTr="000F23FB">
        <w:trPr>
          <w:trHeight w:val="90"/>
          <w:jc w:val="center"/>
        </w:trPr>
        <w:tc>
          <w:tcPr>
            <w:tcW w:w="10488" w:type="dxa"/>
            <w:gridSpan w:val="8"/>
            <w:tcBorders>
              <w:top w:val="nil"/>
              <w:left w:val="nil"/>
              <w:bottom w:val="nil"/>
              <w:right w:val="nil"/>
            </w:tcBorders>
            <w:vAlign w:val="bottom"/>
          </w:tcPr>
          <w:p w:rsidR="000F23FB" w:rsidRPr="000F23FB" w:rsidRDefault="000F23FB" w:rsidP="000F23FB">
            <w:pPr>
              <w:rPr>
                <w:rFonts w:ascii="Arial" w:eastAsia="宋体" w:hAnsi="Arial" w:cs="Arial"/>
                <w:color w:val="000000"/>
                <w:sz w:val="20"/>
                <w:szCs w:val="20"/>
              </w:rPr>
            </w:pPr>
          </w:p>
          <w:p w:rsidR="000F23FB" w:rsidRPr="000F23FB" w:rsidRDefault="000F23FB" w:rsidP="000F23FB">
            <w:pPr>
              <w:rPr>
                <w:rFonts w:ascii="Arial" w:eastAsia="宋体" w:hAnsi="Arial" w:cs="Arial"/>
                <w:color w:val="000000"/>
                <w:sz w:val="20"/>
                <w:szCs w:val="20"/>
              </w:rPr>
            </w:pPr>
          </w:p>
        </w:tc>
      </w:tr>
      <w:tr w:rsidR="000F23FB" w:rsidRPr="000F23FB" w:rsidTr="000F23FB">
        <w:trPr>
          <w:trHeight w:val="287"/>
          <w:jc w:val="center"/>
        </w:trPr>
        <w:tc>
          <w:tcPr>
            <w:tcW w:w="10488" w:type="dxa"/>
            <w:gridSpan w:val="8"/>
            <w:tcBorders>
              <w:top w:val="nil"/>
              <w:left w:val="nil"/>
              <w:bottom w:val="nil"/>
              <w:right w:val="nil"/>
            </w:tcBorders>
            <w:vAlign w:val="bottom"/>
            <w:hideMark/>
          </w:tcPr>
          <w:p w:rsidR="000F23FB" w:rsidRPr="000F23FB" w:rsidRDefault="000F23FB" w:rsidP="000F23FB">
            <w:pPr>
              <w:widowControl/>
              <w:jc w:val="right"/>
              <w:textAlignment w:val="bottom"/>
              <w:rPr>
                <w:rFonts w:ascii="宋体" w:eastAsia="宋体" w:hAnsi="宋体" w:cs="Times New Roman"/>
                <w:color w:val="000000"/>
                <w:sz w:val="20"/>
                <w:szCs w:val="20"/>
              </w:rPr>
            </w:pPr>
            <w:r w:rsidRPr="000F23FB">
              <w:rPr>
                <w:rFonts w:ascii="宋体" w:eastAsia="宋体" w:hAnsi="宋体" w:cs="Times New Roman" w:hint="eastAsia"/>
                <w:color w:val="000000"/>
                <w:kern w:val="0"/>
                <w:sz w:val="20"/>
                <w:szCs w:val="20"/>
              </w:rPr>
              <w:t>公开04表</w:t>
            </w:r>
          </w:p>
        </w:tc>
      </w:tr>
      <w:tr w:rsidR="000F23FB" w:rsidRPr="000F23FB" w:rsidTr="000F23FB">
        <w:trPr>
          <w:trHeight w:val="347"/>
          <w:jc w:val="center"/>
        </w:trPr>
        <w:tc>
          <w:tcPr>
            <w:tcW w:w="4247" w:type="dxa"/>
            <w:gridSpan w:val="3"/>
            <w:tcBorders>
              <w:top w:val="nil"/>
              <w:left w:val="nil"/>
              <w:bottom w:val="nil"/>
              <w:right w:val="nil"/>
            </w:tcBorders>
            <w:vAlign w:val="bottom"/>
            <w:hideMark/>
          </w:tcPr>
          <w:p w:rsidR="000F23FB" w:rsidRPr="000F23FB" w:rsidRDefault="000F23FB" w:rsidP="000F23FB">
            <w:pPr>
              <w:rPr>
                <w:rFonts w:ascii="Arial" w:eastAsia="宋体" w:hAnsi="Arial" w:cs="Arial" w:hint="eastAsia"/>
                <w:color w:val="000000"/>
                <w:sz w:val="20"/>
                <w:szCs w:val="20"/>
              </w:rPr>
            </w:pPr>
            <w:r w:rsidRPr="000F23FB">
              <w:rPr>
                <w:rFonts w:ascii="宋体" w:eastAsia="宋体" w:hAnsi="宋体" w:cs="Times New Roman" w:hint="eastAsia"/>
                <w:color w:val="000000"/>
                <w:kern w:val="0"/>
                <w:sz w:val="20"/>
                <w:szCs w:val="20"/>
              </w:rPr>
              <w:t>部门：双鸭山市住房公积金管理中心</w:t>
            </w:r>
          </w:p>
        </w:tc>
        <w:tc>
          <w:tcPr>
            <w:tcW w:w="4109" w:type="dxa"/>
            <w:gridSpan w:val="3"/>
            <w:tcBorders>
              <w:top w:val="nil"/>
              <w:left w:val="nil"/>
              <w:bottom w:val="nil"/>
              <w:right w:val="nil"/>
            </w:tcBorders>
            <w:vAlign w:val="bottom"/>
            <w:hideMark/>
          </w:tcPr>
          <w:p w:rsidR="000F23FB" w:rsidRPr="000F23FB" w:rsidRDefault="000F23FB" w:rsidP="000F23FB">
            <w:pPr>
              <w:rPr>
                <w:rFonts w:ascii="Arial" w:eastAsia="宋体" w:hAnsi="Arial" w:cs="Arial"/>
                <w:color w:val="000000"/>
                <w:sz w:val="20"/>
                <w:szCs w:val="20"/>
              </w:rPr>
            </w:pPr>
            <w:r w:rsidRPr="000F23FB">
              <w:rPr>
                <w:rFonts w:ascii="Arial" w:eastAsia="宋体" w:hAnsi="Arial" w:cs="Arial" w:hint="eastAsia"/>
                <w:color w:val="000000"/>
                <w:sz w:val="20"/>
                <w:szCs w:val="20"/>
              </w:rPr>
              <w:t>2018</w:t>
            </w:r>
            <w:r w:rsidRPr="000F23FB">
              <w:rPr>
                <w:rFonts w:ascii="宋体" w:eastAsia="宋体" w:hAnsi="宋体" w:cs="Arial" w:hint="eastAsia"/>
                <w:color w:val="000000"/>
                <w:sz w:val="20"/>
                <w:szCs w:val="20"/>
              </w:rPr>
              <w:t>年度</w:t>
            </w:r>
          </w:p>
        </w:tc>
        <w:tc>
          <w:tcPr>
            <w:tcW w:w="2132" w:type="dxa"/>
            <w:gridSpan w:val="2"/>
            <w:tcBorders>
              <w:top w:val="nil"/>
              <w:left w:val="nil"/>
              <w:bottom w:val="single" w:sz="4" w:space="0" w:color="000000"/>
              <w:right w:val="nil"/>
            </w:tcBorders>
            <w:vAlign w:val="bottom"/>
            <w:hideMark/>
          </w:tcPr>
          <w:p w:rsidR="000F23FB" w:rsidRPr="000F23FB" w:rsidRDefault="000F23FB" w:rsidP="000F23FB">
            <w:pPr>
              <w:widowControl/>
              <w:jc w:val="right"/>
              <w:textAlignment w:val="bottom"/>
              <w:rPr>
                <w:rFonts w:ascii="宋体" w:eastAsia="宋体" w:hAnsi="宋体" w:cs="Times New Roman" w:hint="eastAsia"/>
                <w:color w:val="000000"/>
                <w:sz w:val="20"/>
                <w:szCs w:val="20"/>
              </w:rPr>
            </w:pPr>
            <w:r w:rsidRPr="000F23FB">
              <w:rPr>
                <w:rFonts w:ascii="宋体" w:eastAsia="宋体" w:hAnsi="宋体" w:cs="Times New Roman" w:hint="eastAsia"/>
                <w:color w:val="000000"/>
                <w:kern w:val="0"/>
                <w:sz w:val="20"/>
                <w:szCs w:val="20"/>
              </w:rPr>
              <w:t>金额单位：万元</w:t>
            </w:r>
          </w:p>
        </w:tc>
      </w:tr>
      <w:tr w:rsidR="000F23FB" w:rsidRPr="000F23FB" w:rsidTr="000F23FB">
        <w:trPr>
          <w:trHeight w:val="347"/>
          <w:jc w:val="center"/>
        </w:trPr>
        <w:tc>
          <w:tcPr>
            <w:tcW w:w="4247"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收     入</w:t>
            </w:r>
          </w:p>
        </w:tc>
        <w:tc>
          <w:tcPr>
            <w:tcW w:w="6241" w:type="dxa"/>
            <w:gridSpan w:val="5"/>
            <w:tcBorders>
              <w:top w:val="single" w:sz="4" w:space="0" w:color="000000"/>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支     出</w:t>
            </w:r>
          </w:p>
        </w:tc>
      </w:tr>
      <w:tr w:rsidR="000F23FB" w:rsidRPr="000F23FB" w:rsidTr="000F23FB">
        <w:trPr>
          <w:trHeight w:val="379"/>
          <w:jc w:val="center"/>
        </w:trPr>
        <w:tc>
          <w:tcPr>
            <w:tcW w:w="2852" w:type="dxa"/>
            <w:vMerge w:val="restart"/>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项目</w:t>
            </w:r>
          </w:p>
        </w:tc>
        <w:tc>
          <w:tcPr>
            <w:tcW w:w="345"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行次</w:t>
            </w:r>
          </w:p>
        </w:tc>
        <w:tc>
          <w:tcPr>
            <w:tcW w:w="1050"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金额</w:t>
            </w:r>
          </w:p>
        </w:tc>
        <w:tc>
          <w:tcPr>
            <w:tcW w:w="2865"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项目</w:t>
            </w:r>
          </w:p>
        </w:tc>
        <w:tc>
          <w:tcPr>
            <w:tcW w:w="450"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行次</w:t>
            </w:r>
          </w:p>
        </w:tc>
        <w:tc>
          <w:tcPr>
            <w:tcW w:w="794"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合计</w:t>
            </w:r>
          </w:p>
        </w:tc>
        <w:tc>
          <w:tcPr>
            <w:tcW w:w="1229"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一般公共预算财政拨款</w:t>
            </w:r>
          </w:p>
        </w:tc>
        <w:tc>
          <w:tcPr>
            <w:tcW w:w="903"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政府性基金预算财政拨款</w:t>
            </w:r>
          </w:p>
        </w:tc>
      </w:tr>
      <w:tr w:rsidR="000F23FB" w:rsidRPr="000F23FB" w:rsidTr="000F23FB">
        <w:trPr>
          <w:trHeight w:val="950"/>
          <w:jc w:val="center"/>
        </w:trPr>
        <w:tc>
          <w:tcPr>
            <w:tcW w:w="10488" w:type="dxa"/>
            <w:vMerge/>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345"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1050"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6241"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450"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794"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2132"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903"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栏次</w:t>
            </w:r>
          </w:p>
        </w:tc>
        <w:tc>
          <w:tcPr>
            <w:tcW w:w="345" w:type="dxa"/>
            <w:tcBorders>
              <w:top w:val="nil"/>
              <w:left w:val="nil"/>
              <w:bottom w:val="single" w:sz="4" w:space="0" w:color="000000"/>
              <w:right w:val="single" w:sz="4" w:space="0" w:color="000000"/>
            </w:tcBorders>
            <w:shd w:val="clear" w:color="auto" w:fill="C0C0C0"/>
            <w:vAlign w:val="center"/>
          </w:tcPr>
          <w:p w:rsidR="000F23FB" w:rsidRPr="000F23FB" w:rsidRDefault="000F23FB" w:rsidP="000F23FB">
            <w:pPr>
              <w:jc w:val="center"/>
              <w:rPr>
                <w:rFonts w:ascii="宋体" w:eastAsia="宋体" w:hAnsi="宋体" w:cs="Times New Roman" w:hint="eastAsia"/>
                <w:color w:val="000000"/>
                <w:sz w:val="22"/>
              </w:rPr>
            </w:pPr>
          </w:p>
        </w:tc>
        <w:tc>
          <w:tcPr>
            <w:tcW w:w="10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w:t>
            </w: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栏次</w:t>
            </w:r>
          </w:p>
        </w:tc>
        <w:tc>
          <w:tcPr>
            <w:tcW w:w="450" w:type="dxa"/>
            <w:tcBorders>
              <w:top w:val="nil"/>
              <w:left w:val="nil"/>
              <w:bottom w:val="single" w:sz="4" w:space="0" w:color="000000"/>
              <w:right w:val="single" w:sz="4" w:space="0" w:color="000000"/>
            </w:tcBorders>
            <w:shd w:val="clear" w:color="auto" w:fill="C0C0C0"/>
            <w:vAlign w:val="center"/>
          </w:tcPr>
          <w:p w:rsidR="000F23FB" w:rsidRPr="000F23FB" w:rsidRDefault="000F23FB" w:rsidP="000F23FB">
            <w:pPr>
              <w:jc w:val="center"/>
              <w:rPr>
                <w:rFonts w:ascii="宋体" w:eastAsia="宋体" w:hAnsi="宋体" w:cs="Times New Roman" w:hint="eastAsia"/>
                <w:color w:val="000000"/>
                <w:sz w:val="22"/>
              </w:rPr>
            </w:pPr>
          </w:p>
        </w:tc>
        <w:tc>
          <w:tcPr>
            <w:tcW w:w="794"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w:t>
            </w:r>
          </w:p>
        </w:tc>
        <w:tc>
          <w:tcPr>
            <w:tcW w:w="1229"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w:t>
            </w:r>
          </w:p>
        </w:tc>
        <w:tc>
          <w:tcPr>
            <w:tcW w:w="903"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一、一般公共预算财政拨款</w:t>
            </w: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w:t>
            </w:r>
          </w:p>
        </w:tc>
        <w:tc>
          <w:tcPr>
            <w:tcW w:w="105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821.49</w:t>
            </w: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一、一般公共服务支出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28</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二、政府性基金预算财政拨款</w:t>
            </w: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w:t>
            </w:r>
          </w:p>
        </w:tc>
        <w:tc>
          <w:tcPr>
            <w:tcW w:w="105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二、外交支出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29</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三、国防支出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30</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四、公共安全支出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31</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五、教育支出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32</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6</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六、科学技术支出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33</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7</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七、文化体育与传媒支出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34</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8</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八、社会保障和就业支出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35</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32.13</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32.13</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9</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九、医疗卫生与计划生育支出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36</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19.95</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19.95</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10</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十、节能环保支出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37</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11</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十一、城乡社区支出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38</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12</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十二、农林水支出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39</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13</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十三、交通运输支出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40</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14</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十四、资源勘探信息等支出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41</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15</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十五、商业服务业等支出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42</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16</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十六、金融支出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43</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17</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十七、援助其他地区支出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44</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18</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十八、国土海洋气象等支出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45</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十九、住房保障支出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46</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755.01</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755.01</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二十、粮油物资储备支出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47</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21</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二十一、其他支出</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48</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b/>
                <w:bCs/>
                <w:color w:val="000000"/>
                <w:sz w:val="22"/>
              </w:rPr>
            </w:pPr>
            <w:r w:rsidRPr="000F23FB">
              <w:rPr>
                <w:rFonts w:ascii="宋体" w:eastAsia="宋体" w:hAnsi="宋体" w:cs="Times New Roman" w:hint="eastAsia"/>
                <w:b/>
                <w:bCs/>
                <w:color w:val="000000"/>
                <w:kern w:val="0"/>
                <w:sz w:val="22"/>
              </w:rPr>
              <w:t>本年收入合计</w:t>
            </w: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22</w:t>
            </w:r>
          </w:p>
        </w:tc>
        <w:tc>
          <w:tcPr>
            <w:tcW w:w="105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821.49</w:t>
            </w: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b/>
                <w:bCs/>
                <w:color w:val="000000"/>
                <w:sz w:val="22"/>
              </w:rPr>
            </w:pPr>
            <w:r w:rsidRPr="000F23FB">
              <w:rPr>
                <w:rFonts w:ascii="宋体" w:eastAsia="宋体" w:hAnsi="宋体" w:cs="Times New Roman" w:hint="eastAsia"/>
                <w:b/>
                <w:bCs/>
                <w:color w:val="000000"/>
                <w:kern w:val="0"/>
                <w:sz w:val="22"/>
              </w:rPr>
              <w:t>本年支出合计</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49</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807.08</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807.08</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年初财政拨款结转和结余</w:t>
            </w: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23</w:t>
            </w:r>
          </w:p>
        </w:tc>
        <w:tc>
          <w:tcPr>
            <w:tcW w:w="105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4.35</w:t>
            </w: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年末财政拨款结转和结余</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50</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18.76</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18.76</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 xml:space="preserve">  一般公共预算财政拨款</w:t>
            </w: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24</w:t>
            </w:r>
          </w:p>
        </w:tc>
        <w:tc>
          <w:tcPr>
            <w:tcW w:w="105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4.35</w:t>
            </w:r>
          </w:p>
        </w:tc>
        <w:tc>
          <w:tcPr>
            <w:tcW w:w="2865" w:type="dxa"/>
            <w:tcBorders>
              <w:top w:val="nil"/>
              <w:left w:val="nil"/>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51</w:t>
            </w:r>
          </w:p>
        </w:tc>
        <w:tc>
          <w:tcPr>
            <w:tcW w:w="794"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2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90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 xml:space="preserve">  政府性基金预算财政拨款</w:t>
            </w: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25</w:t>
            </w:r>
          </w:p>
        </w:tc>
        <w:tc>
          <w:tcPr>
            <w:tcW w:w="105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2865" w:type="dxa"/>
            <w:tcBorders>
              <w:top w:val="nil"/>
              <w:left w:val="nil"/>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52</w:t>
            </w:r>
          </w:p>
        </w:tc>
        <w:tc>
          <w:tcPr>
            <w:tcW w:w="794"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2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90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26</w:t>
            </w:r>
          </w:p>
        </w:tc>
        <w:tc>
          <w:tcPr>
            <w:tcW w:w="105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865" w:type="dxa"/>
            <w:tcBorders>
              <w:top w:val="nil"/>
              <w:left w:val="nil"/>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22"/>
              </w:rPr>
            </w:pP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53</w:t>
            </w:r>
          </w:p>
        </w:tc>
        <w:tc>
          <w:tcPr>
            <w:tcW w:w="794"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29"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90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47"/>
          <w:jc w:val="center"/>
        </w:trPr>
        <w:tc>
          <w:tcPr>
            <w:tcW w:w="2852"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b/>
                <w:bCs/>
                <w:color w:val="000000"/>
                <w:sz w:val="22"/>
              </w:rPr>
            </w:pPr>
            <w:r w:rsidRPr="000F23FB">
              <w:rPr>
                <w:rFonts w:ascii="宋体" w:eastAsia="宋体" w:hAnsi="宋体" w:cs="Times New Roman" w:hint="eastAsia"/>
                <w:b/>
                <w:bCs/>
                <w:color w:val="000000"/>
                <w:kern w:val="0"/>
                <w:sz w:val="22"/>
              </w:rPr>
              <w:t>总计</w:t>
            </w:r>
          </w:p>
        </w:tc>
        <w:tc>
          <w:tcPr>
            <w:tcW w:w="34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27</w:t>
            </w:r>
          </w:p>
        </w:tc>
        <w:tc>
          <w:tcPr>
            <w:tcW w:w="105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825.85</w:t>
            </w:r>
          </w:p>
        </w:tc>
        <w:tc>
          <w:tcPr>
            <w:tcW w:w="28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b/>
                <w:bCs/>
                <w:color w:val="000000"/>
                <w:sz w:val="22"/>
              </w:rPr>
            </w:pPr>
            <w:r w:rsidRPr="000F23FB">
              <w:rPr>
                <w:rFonts w:ascii="宋体" w:eastAsia="宋体" w:hAnsi="宋体" w:cs="Times New Roman" w:hint="eastAsia"/>
                <w:b/>
                <w:bCs/>
                <w:color w:val="000000"/>
                <w:kern w:val="0"/>
                <w:sz w:val="22"/>
              </w:rPr>
              <w:t>总计</w:t>
            </w:r>
          </w:p>
        </w:tc>
        <w:tc>
          <w:tcPr>
            <w:tcW w:w="45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54</w:t>
            </w:r>
          </w:p>
        </w:tc>
        <w:tc>
          <w:tcPr>
            <w:tcW w:w="79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825.85</w:t>
            </w:r>
          </w:p>
        </w:tc>
        <w:tc>
          <w:tcPr>
            <w:tcW w:w="1229"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825.85</w:t>
            </w:r>
          </w:p>
        </w:tc>
        <w:tc>
          <w:tcPr>
            <w:tcW w:w="903"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347"/>
          <w:jc w:val="center"/>
        </w:trPr>
        <w:tc>
          <w:tcPr>
            <w:tcW w:w="10488" w:type="dxa"/>
            <w:gridSpan w:val="8"/>
            <w:tcBorders>
              <w:top w:val="nil"/>
              <w:left w:val="nil"/>
              <w:bottom w:val="nil"/>
              <w:right w:val="nil"/>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5"/>
                <w:szCs w:val="15"/>
              </w:rPr>
            </w:pPr>
            <w:r w:rsidRPr="000F23FB">
              <w:rPr>
                <w:rFonts w:ascii="宋体" w:eastAsia="宋体" w:hAnsi="宋体" w:cs="Times New Roman" w:hint="eastAsia"/>
                <w:color w:val="000000"/>
                <w:kern w:val="0"/>
                <w:sz w:val="15"/>
                <w:szCs w:val="15"/>
              </w:rPr>
              <w:t>注：本表反映部门本年度一般公共预算财政拨款和政府性基金预算财政拨款的总收支和年末结转结余情况。本表金额转换为万元时，因四舍五入可能存在尾差。</w:t>
            </w:r>
          </w:p>
        </w:tc>
      </w:tr>
    </w:tbl>
    <w:p w:rsidR="000F23FB" w:rsidRPr="000F23FB" w:rsidRDefault="000F23FB" w:rsidP="000F23FB">
      <w:pPr>
        <w:widowControl/>
        <w:jc w:val="left"/>
        <w:rPr>
          <w:rFonts w:ascii="宋体" w:eastAsia="宋体" w:hAnsi="宋体" w:cs="宋体"/>
          <w:vanish/>
          <w:kern w:val="0"/>
          <w:sz w:val="24"/>
          <w:szCs w:val="24"/>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007"/>
        <w:gridCol w:w="2595"/>
        <w:gridCol w:w="1800"/>
        <w:gridCol w:w="2730"/>
        <w:gridCol w:w="2428"/>
      </w:tblGrid>
      <w:tr w:rsidR="000F23FB" w:rsidRPr="000F23FB" w:rsidTr="000F23FB">
        <w:trPr>
          <w:trHeight w:val="776"/>
          <w:jc w:val="center"/>
        </w:trPr>
        <w:tc>
          <w:tcPr>
            <w:tcW w:w="10560" w:type="dxa"/>
            <w:gridSpan w:val="5"/>
            <w:tcBorders>
              <w:top w:val="nil"/>
              <w:left w:val="nil"/>
              <w:bottom w:val="nil"/>
              <w:right w:val="nil"/>
            </w:tcBorders>
            <w:vAlign w:val="bottom"/>
          </w:tcPr>
          <w:p w:rsidR="000F23FB" w:rsidRPr="000F23FB" w:rsidRDefault="000F23FB" w:rsidP="000F23FB">
            <w:pPr>
              <w:autoSpaceDE w:val="0"/>
              <w:spacing w:before="100" w:beforeAutospacing="1" w:after="100" w:afterAutospacing="1" w:line="560" w:lineRule="exact"/>
              <w:jc w:val="center"/>
              <w:rPr>
                <w:rFonts w:ascii="黑体" w:eastAsia="黑体" w:hAnsi="黑体" w:cs="Times New Roman" w:hint="eastAsia"/>
                <w:sz w:val="32"/>
                <w:szCs w:val="32"/>
              </w:rPr>
            </w:pPr>
            <w:bookmarkStart w:id="16" w:name="_Toc7692"/>
            <w:r w:rsidRPr="000F23FB">
              <w:rPr>
                <w:rFonts w:ascii="黑体" w:eastAsia="黑体" w:hAnsi="黑体" w:cs="Times New Roman" w:hint="eastAsia"/>
                <w:sz w:val="32"/>
                <w:szCs w:val="32"/>
              </w:rPr>
              <w:t>一般公共预算财政拨款支出决算表</w:t>
            </w:r>
            <w:bookmarkEnd w:id="16"/>
          </w:p>
          <w:p w:rsidR="000F23FB" w:rsidRPr="000F23FB" w:rsidRDefault="000F23FB" w:rsidP="000F23FB">
            <w:pPr>
              <w:rPr>
                <w:rFonts w:ascii="Arial" w:eastAsia="宋体" w:hAnsi="Arial" w:cs="Arial" w:hint="eastAsia"/>
                <w:color w:val="000000"/>
                <w:sz w:val="20"/>
                <w:szCs w:val="20"/>
              </w:rPr>
            </w:pPr>
          </w:p>
        </w:tc>
      </w:tr>
      <w:tr w:rsidR="000F23FB" w:rsidRPr="000F23FB" w:rsidTr="000F23FB">
        <w:trPr>
          <w:trHeight w:val="244"/>
          <w:jc w:val="center"/>
        </w:trPr>
        <w:tc>
          <w:tcPr>
            <w:tcW w:w="10560" w:type="dxa"/>
            <w:gridSpan w:val="5"/>
            <w:tcBorders>
              <w:top w:val="nil"/>
              <w:left w:val="nil"/>
              <w:bottom w:val="nil"/>
              <w:right w:val="nil"/>
            </w:tcBorders>
            <w:vAlign w:val="bottom"/>
            <w:hideMark/>
          </w:tcPr>
          <w:p w:rsidR="000F23FB" w:rsidRPr="000F23FB" w:rsidRDefault="000F23FB" w:rsidP="000F23FB">
            <w:pPr>
              <w:widowControl/>
              <w:jc w:val="right"/>
              <w:textAlignment w:val="bottom"/>
              <w:rPr>
                <w:rFonts w:ascii="宋体" w:eastAsia="宋体" w:hAnsi="宋体" w:cs="Times New Roman"/>
                <w:color w:val="000000"/>
                <w:sz w:val="20"/>
                <w:szCs w:val="20"/>
              </w:rPr>
            </w:pPr>
            <w:r w:rsidRPr="000F23FB">
              <w:rPr>
                <w:rFonts w:ascii="宋体" w:eastAsia="宋体" w:hAnsi="宋体" w:cs="Times New Roman" w:hint="eastAsia"/>
                <w:color w:val="000000"/>
                <w:kern w:val="0"/>
                <w:sz w:val="20"/>
                <w:szCs w:val="20"/>
              </w:rPr>
              <w:t>公开05表</w:t>
            </w:r>
          </w:p>
        </w:tc>
      </w:tr>
      <w:tr w:rsidR="000F23FB" w:rsidRPr="000F23FB" w:rsidTr="000F23FB">
        <w:trPr>
          <w:trHeight w:val="274"/>
          <w:jc w:val="center"/>
        </w:trPr>
        <w:tc>
          <w:tcPr>
            <w:tcW w:w="10560" w:type="dxa"/>
            <w:gridSpan w:val="5"/>
            <w:tcBorders>
              <w:top w:val="nil"/>
              <w:left w:val="nil"/>
              <w:bottom w:val="nil"/>
              <w:right w:val="nil"/>
            </w:tcBorders>
            <w:vAlign w:val="bottom"/>
            <w:hideMark/>
          </w:tcPr>
          <w:p w:rsidR="000F23FB" w:rsidRPr="000F23FB" w:rsidRDefault="000F23FB" w:rsidP="000F23FB">
            <w:pPr>
              <w:rPr>
                <w:rFonts w:ascii="Arial" w:eastAsia="宋体" w:hAnsi="Arial" w:cs="Arial" w:hint="eastAsia"/>
                <w:color w:val="000000"/>
                <w:sz w:val="20"/>
                <w:szCs w:val="20"/>
              </w:rPr>
            </w:pPr>
            <w:r w:rsidRPr="000F23FB">
              <w:rPr>
                <w:rFonts w:ascii="宋体" w:eastAsia="宋体" w:hAnsi="宋体" w:cs="Times New Roman" w:hint="eastAsia"/>
                <w:color w:val="000000"/>
                <w:kern w:val="0"/>
                <w:sz w:val="20"/>
                <w:szCs w:val="20"/>
              </w:rPr>
              <w:t xml:space="preserve">部门：双鸭山市住房公积金管理中心                  </w:t>
            </w:r>
            <w:r w:rsidRPr="000F23FB">
              <w:rPr>
                <w:rFonts w:ascii="Arial" w:eastAsia="宋体" w:hAnsi="Arial" w:cs="Arial" w:hint="eastAsia"/>
                <w:color w:val="000000"/>
                <w:sz w:val="20"/>
                <w:szCs w:val="20"/>
              </w:rPr>
              <w:t>2018</w:t>
            </w:r>
            <w:r w:rsidRPr="000F23FB">
              <w:rPr>
                <w:rFonts w:ascii="宋体" w:eastAsia="宋体" w:hAnsi="宋体" w:cs="Arial" w:hint="eastAsia"/>
                <w:color w:val="000000"/>
                <w:sz w:val="20"/>
                <w:szCs w:val="20"/>
              </w:rPr>
              <w:t xml:space="preserve">年度                                 </w:t>
            </w:r>
            <w:r w:rsidRPr="000F23FB">
              <w:rPr>
                <w:rFonts w:ascii="宋体" w:eastAsia="宋体" w:hAnsi="宋体" w:cs="Times New Roman" w:hint="eastAsia"/>
                <w:color w:val="000000"/>
                <w:kern w:val="0"/>
                <w:sz w:val="20"/>
                <w:szCs w:val="20"/>
              </w:rPr>
              <w:t>金额单位：万元</w:t>
            </w:r>
          </w:p>
          <w:p w:rsidR="000F23FB" w:rsidRPr="000F23FB" w:rsidRDefault="000F23FB" w:rsidP="000F23FB">
            <w:pPr>
              <w:widowControl/>
              <w:jc w:val="right"/>
              <w:textAlignment w:val="bottom"/>
              <w:rPr>
                <w:rFonts w:ascii="宋体" w:eastAsia="宋体" w:hAnsi="宋体" w:cs="Times New Roman" w:hint="eastAsia"/>
                <w:color w:val="000000"/>
                <w:sz w:val="20"/>
                <w:szCs w:val="20"/>
              </w:rPr>
            </w:pPr>
            <w:r w:rsidRPr="000F23FB">
              <w:rPr>
                <w:rFonts w:ascii="宋体" w:eastAsia="宋体" w:hAnsi="宋体" w:cs="Times New Roman" w:hint="eastAsia"/>
                <w:color w:val="000000"/>
                <w:kern w:val="0"/>
                <w:sz w:val="20"/>
                <w:szCs w:val="20"/>
              </w:rPr>
              <w:t>金额单位：万元</w:t>
            </w:r>
          </w:p>
        </w:tc>
      </w:tr>
      <w:tr w:rsidR="000F23FB" w:rsidRPr="000F23FB" w:rsidTr="000F23FB">
        <w:trPr>
          <w:trHeight w:val="269"/>
          <w:jc w:val="center"/>
        </w:trPr>
        <w:tc>
          <w:tcPr>
            <w:tcW w:w="360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项目</w:t>
            </w:r>
          </w:p>
        </w:tc>
        <w:tc>
          <w:tcPr>
            <w:tcW w:w="6958" w:type="dxa"/>
            <w:gridSpan w:val="3"/>
            <w:tcBorders>
              <w:top w:val="single" w:sz="4" w:space="0" w:color="000000"/>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本年支出</w:t>
            </w:r>
          </w:p>
        </w:tc>
      </w:tr>
      <w:tr w:rsidR="000F23FB" w:rsidRPr="000F23FB" w:rsidTr="000F23FB">
        <w:trPr>
          <w:trHeight w:val="329"/>
          <w:jc w:val="center"/>
        </w:trPr>
        <w:tc>
          <w:tcPr>
            <w:tcW w:w="1007" w:type="dxa"/>
            <w:vMerge w:val="restart"/>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功能分类科目编码</w:t>
            </w:r>
          </w:p>
        </w:tc>
        <w:tc>
          <w:tcPr>
            <w:tcW w:w="2595"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科目名称</w:t>
            </w:r>
          </w:p>
        </w:tc>
        <w:tc>
          <w:tcPr>
            <w:tcW w:w="1800"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小计</w:t>
            </w:r>
          </w:p>
        </w:tc>
        <w:tc>
          <w:tcPr>
            <w:tcW w:w="2730"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基本支出</w:t>
            </w:r>
          </w:p>
        </w:tc>
        <w:tc>
          <w:tcPr>
            <w:tcW w:w="2428"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项目支出</w:t>
            </w:r>
          </w:p>
        </w:tc>
      </w:tr>
      <w:tr w:rsidR="000F23FB" w:rsidRPr="000F23FB" w:rsidTr="000F23FB">
        <w:trPr>
          <w:trHeight w:val="329"/>
          <w:jc w:val="center"/>
        </w:trPr>
        <w:tc>
          <w:tcPr>
            <w:tcW w:w="10560" w:type="dxa"/>
            <w:vMerge/>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2595"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6958"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2730"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2428"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r>
      <w:tr w:rsidR="000F23FB" w:rsidRPr="000F23FB" w:rsidTr="000F23FB">
        <w:trPr>
          <w:trHeight w:val="312"/>
          <w:jc w:val="center"/>
        </w:trPr>
        <w:tc>
          <w:tcPr>
            <w:tcW w:w="10560" w:type="dxa"/>
            <w:vMerge/>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2595"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6958"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2730"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2428"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r>
      <w:tr w:rsidR="000F23FB" w:rsidRPr="000F23FB" w:rsidTr="000F23FB">
        <w:trPr>
          <w:trHeight w:val="324"/>
          <w:jc w:val="center"/>
        </w:trPr>
        <w:tc>
          <w:tcPr>
            <w:tcW w:w="3602" w:type="dxa"/>
            <w:gridSpan w:val="2"/>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栏次</w:t>
            </w:r>
          </w:p>
        </w:tc>
        <w:tc>
          <w:tcPr>
            <w:tcW w:w="180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w:t>
            </w:r>
          </w:p>
        </w:tc>
        <w:tc>
          <w:tcPr>
            <w:tcW w:w="273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w:t>
            </w:r>
          </w:p>
        </w:tc>
        <w:tc>
          <w:tcPr>
            <w:tcW w:w="2428"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w:t>
            </w:r>
          </w:p>
        </w:tc>
      </w:tr>
      <w:tr w:rsidR="000F23FB" w:rsidRPr="000F23FB" w:rsidTr="000F23FB">
        <w:trPr>
          <w:trHeight w:val="279"/>
          <w:jc w:val="center"/>
        </w:trPr>
        <w:tc>
          <w:tcPr>
            <w:tcW w:w="3602" w:type="dxa"/>
            <w:gridSpan w:val="2"/>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合计</w:t>
            </w:r>
          </w:p>
        </w:tc>
        <w:tc>
          <w:tcPr>
            <w:tcW w:w="18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b/>
                <w:bCs/>
                <w:color w:val="000000"/>
                <w:sz w:val="22"/>
              </w:rPr>
            </w:pPr>
            <w:r w:rsidRPr="000F23FB">
              <w:rPr>
                <w:rFonts w:ascii="宋体" w:eastAsia="宋体" w:hAnsi="宋体" w:cs="Times New Roman" w:hint="eastAsia"/>
                <w:b/>
                <w:bCs/>
                <w:color w:val="000000"/>
                <w:kern w:val="0"/>
                <w:sz w:val="22"/>
              </w:rPr>
              <w:t>807.08</w:t>
            </w:r>
          </w:p>
        </w:tc>
        <w:tc>
          <w:tcPr>
            <w:tcW w:w="273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b/>
                <w:bCs/>
                <w:color w:val="000000"/>
                <w:sz w:val="22"/>
              </w:rPr>
            </w:pPr>
            <w:r w:rsidRPr="000F23FB">
              <w:rPr>
                <w:rFonts w:ascii="宋体" w:eastAsia="宋体" w:hAnsi="宋体" w:cs="Times New Roman" w:hint="eastAsia"/>
                <w:b/>
                <w:bCs/>
                <w:color w:val="000000"/>
                <w:kern w:val="0"/>
                <w:sz w:val="22"/>
              </w:rPr>
              <w:t>687.52</w:t>
            </w:r>
          </w:p>
        </w:tc>
        <w:tc>
          <w:tcPr>
            <w:tcW w:w="2428"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b/>
                <w:bCs/>
                <w:color w:val="000000"/>
                <w:sz w:val="22"/>
              </w:rPr>
            </w:pPr>
            <w:r w:rsidRPr="000F23FB">
              <w:rPr>
                <w:rFonts w:ascii="宋体" w:eastAsia="宋体" w:hAnsi="宋体" w:cs="Times New Roman" w:hint="eastAsia"/>
                <w:b/>
                <w:bCs/>
                <w:color w:val="000000"/>
                <w:kern w:val="0"/>
                <w:sz w:val="22"/>
              </w:rPr>
              <w:t>119.57</w:t>
            </w: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208</w:t>
            </w:r>
          </w:p>
        </w:tc>
        <w:tc>
          <w:tcPr>
            <w:tcW w:w="259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社会保障和就业支出</w:t>
            </w:r>
          </w:p>
        </w:tc>
        <w:tc>
          <w:tcPr>
            <w:tcW w:w="18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32.13</w:t>
            </w:r>
          </w:p>
        </w:tc>
        <w:tc>
          <w:tcPr>
            <w:tcW w:w="273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32.13</w:t>
            </w:r>
          </w:p>
        </w:tc>
        <w:tc>
          <w:tcPr>
            <w:tcW w:w="2428"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20805</w:t>
            </w:r>
          </w:p>
        </w:tc>
        <w:tc>
          <w:tcPr>
            <w:tcW w:w="259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行政事业单位离退休</w:t>
            </w:r>
          </w:p>
        </w:tc>
        <w:tc>
          <w:tcPr>
            <w:tcW w:w="18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32.13</w:t>
            </w:r>
          </w:p>
        </w:tc>
        <w:tc>
          <w:tcPr>
            <w:tcW w:w="273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32.13</w:t>
            </w:r>
          </w:p>
        </w:tc>
        <w:tc>
          <w:tcPr>
            <w:tcW w:w="2428"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2080505</w:t>
            </w:r>
          </w:p>
        </w:tc>
        <w:tc>
          <w:tcPr>
            <w:tcW w:w="259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 xml:space="preserve">  机关事业单位基本养老保险缴费支出</w:t>
            </w:r>
          </w:p>
        </w:tc>
        <w:tc>
          <w:tcPr>
            <w:tcW w:w="18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12.86</w:t>
            </w:r>
          </w:p>
        </w:tc>
        <w:tc>
          <w:tcPr>
            <w:tcW w:w="273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12.86</w:t>
            </w:r>
          </w:p>
        </w:tc>
        <w:tc>
          <w:tcPr>
            <w:tcW w:w="2428"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37"/>
          <w:jc w:val="center"/>
        </w:trPr>
        <w:tc>
          <w:tcPr>
            <w:tcW w:w="1007"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2080599</w:t>
            </w:r>
          </w:p>
        </w:tc>
        <w:tc>
          <w:tcPr>
            <w:tcW w:w="259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 xml:space="preserve">  其他行政事业单位离退休支出</w:t>
            </w:r>
          </w:p>
        </w:tc>
        <w:tc>
          <w:tcPr>
            <w:tcW w:w="18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19.27</w:t>
            </w:r>
          </w:p>
        </w:tc>
        <w:tc>
          <w:tcPr>
            <w:tcW w:w="273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19.27</w:t>
            </w:r>
          </w:p>
        </w:tc>
        <w:tc>
          <w:tcPr>
            <w:tcW w:w="2428"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34"/>
          <w:jc w:val="center"/>
        </w:trPr>
        <w:tc>
          <w:tcPr>
            <w:tcW w:w="1007"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210</w:t>
            </w:r>
          </w:p>
        </w:tc>
        <w:tc>
          <w:tcPr>
            <w:tcW w:w="259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医疗卫生与计划生育支出</w:t>
            </w:r>
          </w:p>
        </w:tc>
        <w:tc>
          <w:tcPr>
            <w:tcW w:w="18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19.95</w:t>
            </w:r>
          </w:p>
        </w:tc>
        <w:tc>
          <w:tcPr>
            <w:tcW w:w="273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19.95</w:t>
            </w:r>
          </w:p>
        </w:tc>
        <w:tc>
          <w:tcPr>
            <w:tcW w:w="2428"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21011</w:t>
            </w:r>
          </w:p>
        </w:tc>
        <w:tc>
          <w:tcPr>
            <w:tcW w:w="259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行政事业单位医疗</w:t>
            </w:r>
          </w:p>
        </w:tc>
        <w:tc>
          <w:tcPr>
            <w:tcW w:w="18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19.95</w:t>
            </w:r>
          </w:p>
        </w:tc>
        <w:tc>
          <w:tcPr>
            <w:tcW w:w="273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19.95</w:t>
            </w:r>
          </w:p>
        </w:tc>
        <w:tc>
          <w:tcPr>
            <w:tcW w:w="2428"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2101102</w:t>
            </w:r>
          </w:p>
        </w:tc>
        <w:tc>
          <w:tcPr>
            <w:tcW w:w="259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 xml:space="preserve">  事业单位医疗</w:t>
            </w:r>
          </w:p>
        </w:tc>
        <w:tc>
          <w:tcPr>
            <w:tcW w:w="18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19.95</w:t>
            </w:r>
          </w:p>
        </w:tc>
        <w:tc>
          <w:tcPr>
            <w:tcW w:w="273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19.95</w:t>
            </w:r>
          </w:p>
        </w:tc>
        <w:tc>
          <w:tcPr>
            <w:tcW w:w="2428"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221</w:t>
            </w:r>
          </w:p>
        </w:tc>
        <w:tc>
          <w:tcPr>
            <w:tcW w:w="259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住房保障支出</w:t>
            </w:r>
          </w:p>
        </w:tc>
        <w:tc>
          <w:tcPr>
            <w:tcW w:w="18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755.01</w:t>
            </w:r>
          </w:p>
        </w:tc>
        <w:tc>
          <w:tcPr>
            <w:tcW w:w="273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635.44</w:t>
            </w:r>
          </w:p>
        </w:tc>
        <w:tc>
          <w:tcPr>
            <w:tcW w:w="2428"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119.57</w:t>
            </w: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22102</w:t>
            </w:r>
          </w:p>
        </w:tc>
        <w:tc>
          <w:tcPr>
            <w:tcW w:w="259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住房改革支出</w:t>
            </w:r>
          </w:p>
        </w:tc>
        <w:tc>
          <w:tcPr>
            <w:tcW w:w="18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43.62</w:t>
            </w:r>
          </w:p>
        </w:tc>
        <w:tc>
          <w:tcPr>
            <w:tcW w:w="273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43.62</w:t>
            </w:r>
          </w:p>
        </w:tc>
        <w:tc>
          <w:tcPr>
            <w:tcW w:w="2428"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2210201</w:t>
            </w:r>
          </w:p>
        </w:tc>
        <w:tc>
          <w:tcPr>
            <w:tcW w:w="259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 xml:space="preserve">  住房公积金</w:t>
            </w:r>
          </w:p>
        </w:tc>
        <w:tc>
          <w:tcPr>
            <w:tcW w:w="18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43.62</w:t>
            </w:r>
          </w:p>
        </w:tc>
        <w:tc>
          <w:tcPr>
            <w:tcW w:w="273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43.62</w:t>
            </w:r>
          </w:p>
        </w:tc>
        <w:tc>
          <w:tcPr>
            <w:tcW w:w="2428"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22103</w:t>
            </w:r>
          </w:p>
        </w:tc>
        <w:tc>
          <w:tcPr>
            <w:tcW w:w="259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城乡社区住宅</w:t>
            </w:r>
          </w:p>
        </w:tc>
        <w:tc>
          <w:tcPr>
            <w:tcW w:w="18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711.39</w:t>
            </w:r>
          </w:p>
        </w:tc>
        <w:tc>
          <w:tcPr>
            <w:tcW w:w="273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591.83</w:t>
            </w:r>
          </w:p>
        </w:tc>
        <w:tc>
          <w:tcPr>
            <w:tcW w:w="2428"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119.57</w:t>
            </w: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2210302</w:t>
            </w:r>
          </w:p>
        </w:tc>
        <w:tc>
          <w:tcPr>
            <w:tcW w:w="259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 xml:space="preserve">  住房公积金管理</w:t>
            </w:r>
          </w:p>
        </w:tc>
        <w:tc>
          <w:tcPr>
            <w:tcW w:w="180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711.39</w:t>
            </w:r>
          </w:p>
        </w:tc>
        <w:tc>
          <w:tcPr>
            <w:tcW w:w="273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591.83</w:t>
            </w:r>
          </w:p>
        </w:tc>
        <w:tc>
          <w:tcPr>
            <w:tcW w:w="2428"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119.57</w:t>
            </w: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244"/>
          <w:jc w:val="center"/>
        </w:trPr>
        <w:tc>
          <w:tcPr>
            <w:tcW w:w="1007"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2595"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80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73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2428"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r>
      <w:tr w:rsidR="000F23FB" w:rsidRPr="000F23FB" w:rsidTr="000F23FB">
        <w:trPr>
          <w:trHeight w:val="379"/>
          <w:jc w:val="center"/>
        </w:trPr>
        <w:tc>
          <w:tcPr>
            <w:tcW w:w="10560" w:type="dxa"/>
            <w:gridSpan w:val="5"/>
            <w:tcBorders>
              <w:top w:val="nil"/>
              <w:left w:val="nil"/>
              <w:bottom w:val="nil"/>
              <w:right w:val="nil"/>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18"/>
                <w:szCs w:val="18"/>
              </w:rPr>
              <w:t>注：本表反映部门本年度一般公共预算财政拨款支出情况。本表金额转换为万元时，因四舍五入可能存在尾差。</w:t>
            </w:r>
          </w:p>
        </w:tc>
      </w:tr>
    </w:tbl>
    <w:p w:rsidR="000F23FB" w:rsidRPr="000F23FB" w:rsidRDefault="000F23FB" w:rsidP="000F23FB">
      <w:pPr>
        <w:widowControl/>
        <w:jc w:val="left"/>
        <w:rPr>
          <w:rFonts w:ascii="宋体" w:eastAsia="宋体" w:hAnsi="宋体" w:cs="宋体"/>
          <w:vanish/>
          <w:kern w:val="0"/>
          <w:sz w:val="24"/>
          <w:szCs w:val="24"/>
        </w:rPr>
      </w:pPr>
    </w:p>
    <w:tbl>
      <w:tblPr>
        <w:tblW w:w="0" w:type="auto"/>
        <w:tblInd w:w="135" w:type="dxa"/>
        <w:tblLayout w:type="fixed"/>
        <w:tblCellMar>
          <w:top w:w="15" w:type="dxa"/>
          <w:left w:w="15" w:type="dxa"/>
          <w:bottom w:w="15" w:type="dxa"/>
          <w:right w:w="15" w:type="dxa"/>
        </w:tblCellMar>
        <w:tblLook w:val="04A0" w:firstRow="1" w:lastRow="0" w:firstColumn="1" w:lastColumn="0" w:noHBand="0" w:noVBand="1"/>
      </w:tblPr>
      <w:tblGrid>
        <w:gridCol w:w="488"/>
        <w:gridCol w:w="2325"/>
        <w:gridCol w:w="1065"/>
        <w:gridCol w:w="525"/>
        <w:gridCol w:w="1635"/>
        <w:gridCol w:w="1020"/>
        <w:gridCol w:w="495"/>
        <w:gridCol w:w="2067"/>
        <w:gridCol w:w="940"/>
      </w:tblGrid>
      <w:tr w:rsidR="000F23FB" w:rsidRPr="000F23FB" w:rsidTr="000F23FB">
        <w:trPr>
          <w:trHeight w:val="779"/>
        </w:trPr>
        <w:tc>
          <w:tcPr>
            <w:tcW w:w="10560" w:type="dxa"/>
            <w:gridSpan w:val="9"/>
            <w:tcBorders>
              <w:top w:val="nil"/>
              <w:left w:val="nil"/>
              <w:bottom w:val="nil"/>
              <w:right w:val="nil"/>
            </w:tcBorders>
            <w:vAlign w:val="bottom"/>
          </w:tcPr>
          <w:p w:rsidR="000F23FB" w:rsidRPr="000F23FB" w:rsidRDefault="000F23FB" w:rsidP="000F23FB">
            <w:pPr>
              <w:autoSpaceDE w:val="0"/>
              <w:spacing w:before="100" w:beforeAutospacing="1" w:after="100" w:afterAutospacing="1" w:line="560" w:lineRule="exact"/>
              <w:jc w:val="center"/>
              <w:rPr>
                <w:rFonts w:ascii="黑体" w:eastAsia="黑体" w:hAnsi="黑体" w:cs="Times New Roman" w:hint="eastAsia"/>
                <w:sz w:val="32"/>
                <w:szCs w:val="32"/>
              </w:rPr>
            </w:pPr>
            <w:bookmarkStart w:id="17" w:name="_Toc29286"/>
            <w:r w:rsidRPr="000F23FB">
              <w:rPr>
                <w:rFonts w:ascii="黑体" w:eastAsia="黑体" w:hAnsi="黑体" w:cs="Times New Roman" w:hint="eastAsia"/>
                <w:sz w:val="32"/>
                <w:szCs w:val="32"/>
              </w:rPr>
              <w:t>一般公共预算财政拨款基本支出决算表</w:t>
            </w:r>
            <w:bookmarkEnd w:id="17"/>
          </w:p>
          <w:p w:rsidR="000F23FB" w:rsidRPr="000F23FB" w:rsidRDefault="000F23FB" w:rsidP="000F23FB">
            <w:pPr>
              <w:rPr>
                <w:rFonts w:ascii="Arial" w:eastAsia="宋体" w:hAnsi="Arial" w:cs="Arial" w:hint="eastAsia"/>
                <w:color w:val="000000"/>
                <w:sz w:val="20"/>
                <w:szCs w:val="20"/>
              </w:rPr>
            </w:pPr>
          </w:p>
        </w:tc>
      </w:tr>
      <w:tr w:rsidR="000F23FB" w:rsidRPr="000F23FB" w:rsidTr="000F23FB">
        <w:trPr>
          <w:trHeight w:val="299"/>
        </w:trPr>
        <w:tc>
          <w:tcPr>
            <w:tcW w:w="488" w:type="dxa"/>
            <w:tcBorders>
              <w:top w:val="nil"/>
              <w:left w:val="nil"/>
              <w:bottom w:val="nil"/>
              <w:right w:val="nil"/>
            </w:tcBorders>
            <w:vAlign w:val="bottom"/>
          </w:tcPr>
          <w:p w:rsidR="000F23FB" w:rsidRPr="000F23FB" w:rsidRDefault="000F23FB" w:rsidP="000F23FB">
            <w:pPr>
              <w:rPr>
                <w:rFonts w:ascii="Arial" w:eastAsia="宋体" w:hAnsi="Arial" w:cs="Arial"/>
                <w:color w:val="000000"/>
                <w:sz w:val="20"/>
                <w:szCs w:val="20"/>
              </w:rPr>
            </w:pPr>
          </w:p>
        </w:tc>
        <w:tc>
          <w:tcPr>
            <w:tcW w:w="2325" w:type="dxa"/>
            <w:tcBorders>
              <w:top w:val="nil"/>
              <w:left w:val="nil"/>
              <w:bottom w:val="nil"/>
              <w:right w:val="nil"/>
            </w:tcBorders>
            <w:vAlign w:val="bottom"/>
          </w:tcPr>
          <w:p w:rsidR="000F23FB" w:rsidRPr="000F23FB" w:rsidRDefault="000F23FB" w:rsidP="000F23FB">
            <w:pPr>
              <w:rPr>
                <w:rFonts w:ascii="Arial" w:eastAsia="宋体" w:hAnsi="Arial" w:cs="Arial"/>
                <w:color w:val="000000"/>
                <w:sz w:val="20"/>
                <w:szCs w:val="20"/>
              </w:rPr>
            </w:pPr>
          </w:p>
        </w:tc>
        <w:tc>
          <w:tcPr>
            <w:tcW w:w="1065" w:type="dxa"/>
            <w:tcBorders>
              <w:top w:val="nil"/>
              <w:left w:val="nil"/>
              <w:bottom w:val="nil"/>
              <w:right w:val="nil"/>
            </w:tcBorders>
            <w:vAlign w:val="bottom"/>
          </w:tcPr>
          <w:p w:rsidR="000F23FB" w:rsidRPr="000F23FB" w:rsidRDefault="000F23FB" w:rsidP="000F23FB">
            <w:pPr>
              <w:rPr>
                <w:rFonts w:ascii="Arial" w:eastAsia="宋体" w:hAnsi="Arial" w:cs="Arial"/>
                <w:color w:val="000000"/>
                <w:sz w:val="20"/>
                <w:szCs w:val="20"/>
              </w:rPr>
            </w:pPr>
          </w:p>
        </w:tc>
        <w:tc>
          <w:tcPr>
            <w:tcW w:w="525" w:type="dxa"/>
            <w:tcBorders>
              <w:top w:val="nil"/>
              <w:left w:val="nil"/>
              <w:bottom w:val="nil"/>
              <w:right w:val="nil"/>
            </w:tcBorders>
            <w:vAlign w:val="bottom"/>
          </w:tcPr>
          <w:p w:rsidR="000F23FB" w:rsidRPr="000F23FB" w:rsidRDefault="000F23FB" w:rsidP="000F23FB">
            <w:pPr>
              <w:rPr>
                <w:rFonts w:ascii="Arial" w:eastAsia="宋体" w:hAnsi="Arial" w:cs="Arial"/>
                <w:color w:val="000000"/>
                <w:sz w:val="20"/>
                <w:szCs w:val="20"/>
              </w:rPr>
            </w:pPr>
          </w:p>
        </w:tc>
        <w:tc>
          <w:tcPr>
            <w:tcW w:w="1635" w:type="dxa"/>
            <w:tcBorders>
              <w:top w:val="nil"/>
              <w:left w:val="nil"/>
              <w:bottom w:val="nil"/>
              <w:right w:val="nil"/>
            </w:tcBorders>
            <w:vAlign w:val="bottom"/>
          </w:tcPr>
          <w:p w:rsidR="000F23FB" w:rsidRPr="000F23FB" w:rsidRDefault="000F23FB" w:rsidP="000F23FB">
            <w:pPr>
              <w:rPr>
                <w:rFonts w:ascii="Arial" w:eastAsia="宋体" w:hAnsi="Arial" w:cs="Arial"/>
                <w:color w:val="000000"/>
                <w:sz w:val="20"/>
                <w:szCs w:val="20"/>
              </w:rPr>
            </w:pPr>
          </w:p>
        </w:tc>
        <w:tc>
          <w:tcPr>
            <w:tcW w:w="1020" w:type="dxa"/>
            <w:tcBorders>
              <w:top w:val="nil"/>
              <w:left w:val="nil"/>
              <w:bottom w:val="nil"/>
              <w:right w:val="nil"/>
            </w:tcBorders>
            <w:vAlign w:val="bottom"/>
          </w:tcPr>
          <w:p w:rsidR="000F23FB" w:rsidRPr="000F23FB" w:rsidRDefault="000F23FB" w:rsidP="000F23FB">
            <w:pPr>
              <w:rPr>
                <w:rFonts w:ascii="Arial" w:eastAsia="宋体" w:hAnsi="Arial" w:cs="Arial"/>
                <w:color w:val="000000"/>
                <w:sz w:val="20"/>
                <w:szCs w:val="20"/>
              </w:rPr>
            </w:pPr>
          </w:p>
        </w:tc>
        <w:tc>
          <w:tcPr>
            <w:tcW w:w="495" w:type="dxa"/>
            <w:tcBorders>
              <w:top w:val="nil"/>
              <w:left w:val="nil"/>
              <w:bottom w:val="nil"/>
              <w:right w:val="nil"/>
            </w:tcBorders>
            <w:vAlign w:val="bottom"/>
          </w:tcPr>
          <w:p w:rsidR="000F23FB" w:rsidRPr="000F23FB" w:rsidRDefault="000F23FB" w:rsidP="000F23FB">
            <w:pPr>
              <w:rPr>
                <w:rFonts w:ascii="Arial" w:eastAsia="宋体" w:hAnsi="Arial" w:cs="Arial"/>
                <w:color w:val="000000"/>
                <w:sz w:val="20"/>
                <w:szCs w:val="20"/>
              </w:rPr>
            </w:pPr>
          </w:p>
        </w:tc>
        <w:tc>
          <w:tcPr>
            <w:tcW w:w="2067" w:type="dxa"/>
            <w:tcBorders>
              <w:top w:val="nil"/>
              <w:left w:val="nil"/>
              <w:bottom w:val="nil"/>
              <w:right w:val="nil"/>
            </w:tcBorders>
            <w:vAlign w:val="bottom"/>
          </w:tcPr>
          <w:p w:rsidR="000F23FB" w:rsidRPr="000F23FB" w:rsidRDefault="000F23FB" w:rsidP="000F23FB">
            <w:pPr>
              <w:rPr>
                <w:rFonts w:ascii="Arial" w:eastAsia="宋体" w:hAnsi="Arial" w:cs="Arial"/>
                <w:color w:val="000000"/>
                <w:sz w:val="20"/>
                <w:szCs w:val="20"/>
              </w:rPr>
            </w:pPr>
          </w:p>
        </w:tc>
        <w:tc>
          <w:tcPr>
            <w:tcW w:w="940" w:type="dxa"/>
            <w:tcBorders>
              <w:top w:val="nil"/>
              <w:left w:val="nil"/>
              <w:bottom w:val="nil"/>
              <w:right w:val="nil"/>
            </w:tcBorders>
            <w:vAlign w:val="bottom"/>
            <w:hideMark/>
          </w:tcPr>
          <w:p w:rsidR="000F23FB" w:rsidRPr="000F23FB" w:rsidRDefault="000F23FB" w:rsidP="000F23FB">
            <w:pPr>
              <w:widowControl/>
              <w:jc w:val="right"/>
              <w:textAlignment w:val="bottom"/>
              <w:rPr>
                <w:rFonts w:ascii="宋体" w:eastAsia="宋体" w:hAnsi="宋体" w:cs="Times New Roman"/>
                <w:color w:val="000000"/>
                <w:sz w:val="20"/>
                <w:szCs w:val="20"/>
              </w:rPr>
            </w:pPr>
            <w:r w:rsidRPr="000F23FB">
              <w:rPr>
                <w:rFonts w:ascii="宋体" w:eastAsia="宋体" w:hAnsi="宋体" w:cs="Times New Roman" w:hint="eastAsia"/>
                <w:color w:val="000000"/>
                <w:kern w:val="0"/>
                <w:sz w:val="20"/>
                <w:szCs w:val="20"/>
              </w:rPr>
              <w:t>公开06表</w:t>
            </w:r>
          </w:p>
        </w:tc>
      </w:tr>
      <w:tr w:rsidR="000F23FB" w:rsidRPr="000F23FB" w:rsidTr="000F23FB">
        <w:trPr>
          <w:trHeight w:val="329"/>
        </w:trPr>
        <w:tc>
          <w:tcPr>
            <w:tcW w:w="4403" w:type="dxa"/>
            <w:gridSpan w:val="4"/>
            <w:tcBorders>
              <w:top w:val="nil"/>
              <w:left w:val="nil"/>
              <w:bottom w:val="nil"/>
              <w:right w:val="nil"/>
            </w:tcBorders>
            <w:vAlign w:val="bottom"/>
            <w:hideMark/>
          </w:tcPr>
          <w:p w:rsidR="000F23FB" w:rsidRPr="000F23FB" w:rsidRDefault="000F23FB" w:rsidP="000F23FB">
            <w:pPr>
              <w:rPr>
                <w:rFonts w:ascii="Arial" w:eastAsia="宋体" w:hAnsi="Arial" w:cs="Arial" w:hint="eastAsia"/>
                <w:color w:val="000000"/>
                <w:sz w:val="20"/>
                <w:szCs w:val="20"/>
              </w:rPr>
            </w:pPr>
            <w:r w:rsidRPr="000F23FB">
              <w:rPr>
                <w:rFonts w:ascii="宋体" w:eastAsia="宋体" w:hAnsi="宋体" w:cs="Times New Roman" w:hint="eastAsia"/>
                <w:color w:val="000000"/>
                <w:kern w:val="0"/>
                <w:sz w:val="20"/>
                <w:szCs w:val="20"/>
              </w:rPr>
              <w:t>部门：</w:t>
            </w:r>
            <w:r w:rsidRPr="000F23FB">
              <w:rPr>
                <w:rFonts w:ascii="宋体" w:eastAsia="宋体" w:hAnsi="宋体" w:cs="Times New Roman" w:hint="eastAsia"/>
                <w:color w:val="FF0000"/>
                <w:kern w:val="0"/>
                <w:sz w:val="20"/>
                <w:szCs w:val="20"/>
              </w:rPr>
              <w:t>双鸭山市住房公积金管理中心</w:t>
            </w:r>
          </w:p>
        </w:tc>
        <w:tc>
          <w:tcPr>
            <w:tcW w:w="1635" w:type="dxa"/>
            <w:tcBorders>
              <w:top w:val="nil"/>
              <w:left w:val="nil"/>
              <w:bottom w:val="single" w:sz="4" w:space="0" w:color="000000"/>
              <w:right w:val="nil"/>
            </w:tcBorders>
            <w:vAlign w:val="bottom"/>
            <w:hideMark/>
          </w:tcPr>
          <w:p w:rsidR="000F23FB" w:rsidRPr="000F23FB" w:rsidRDefault="000F23FB" w:rsidP="000F23FB">
            <w:pPr>
              <w:rPr>
                <w:rFonts w:ascii="Arial" w:eastAsia="宋体" w:hAnsi="Arial" w:cs="Arial"/>
                <w:color w:val="000000"/>
                <w:sz w:val="20"/>
                <w:szCs w:val="20"/>
              </w:rPr>
            </w:pPr>
            <w:r w:rsidRPr="000F23FB">
              <w:rPr>
                <w:rFonts w:ascii="Arial" w:eastAsia="宋体" w:hAnsi="Arial" w:cs="Arial" w:hint="eastAsia"/>
                <w:color w:val="000000"/>
                <w:sz w:val="20"/>
                <w:szCs w:val="20"/>
              </w:rPr>
              <w:t>2018</w:t>
            </w:r>
            <w:r w:rsidRPr="000F23FB">
              <w:rPr>
                <w:rFonts w:ascii="宋体" w:eastAsia="宋体" w:hAnsi="宋体" w:cs="Arial" w:hint="eastAsia"/>
                <w:color w:val="000000"/>
                <w:sz w:val="20"/>
                <w:szCs w:val="20"/>
              </w:rPr>
              <w:t>年度</w:t>
            </w:r>
          </w:p>
        </w:tc>
        <w:tc>
          <w:tcPr>
            <w:tcW w:w="1020" w:type="dxa"/>
            <w:tcBorders>
              <w:top w:val="nil"/>
              <w:left w:val="nil"/>
              <w:bottom w:val="single" w:sz="4" w:space="0" w:color="000000"/>
              <w:right w:val="nil"/>
            </w:tcBorders>
            <w:vAlign w:val="bottom"/>
          </w:tcPr>
          <w:p w:rsidR="000F23FB" w:rsidRPr="000F23FB" w:rsidRDefault="000F23FB" w:rsidP="000F23FB">
            <w:pPr>
              <w:rPr>
                <w:rFonts w:ascii="Arial" w:eastAsia="宋体" w:hAnsi="Arial" w:cs="Arial" w:hint="eastAsia"/>
                <w:color w:val="000000"/>
                <w:sz w:val="20"/>
                <w:szCs w:val="20"/>
              </w:rPr>
            </w:pPr>
          </w:p>
        </w:tc>
        <w:tc>
          <w:tcPr>
            <w:tcW w:w="495" w:type="dxa"/>
            <w:tcBorders>
              <w:top w:val="nil"/>
              <w:left w:val="nil"/>
              <w:bottom w:val="single" w:sz="4" w:space="0" w:color="000000"/>
              <w:right w:val="nil"/>
            </w:tcBorders>
            <w:vAlign w:val="bottom"/>
          </w:tcPr>
          <w:p w:rsidR="000F23FB" w:rsidRPr="000F23FB" w:rsidRDefault="000F23FB" w:rsidP="000F23FB">
            <w:pPr>
              <w:rPr>
                <w:rFonts w:ascii="Arial" w:eastAsia="宋体" w:hAnsi="Arial" w:cs="Arial"/>
                <w:color w:val="000000"/>
                <w:sz w:val="20"/>
                <w:szCs w:val="20"/>
              </w:rPr>
            </w:pPr>
          </w:p>
        </w:tc>
        <w:tc>
          <w:tcPr>
            <w:tcW w:w="3007" w:type="dxa"/>
            <w:gridSpan w:val="2"/>
            <w:tcBorders>
              <w:top w:val="nil"/>
              <w:left w:val="nil"/>
              <w:bottom w:val="single" w:sz="4" w:space="0" w:color="000000"/>
              <w:right w:val="nil"/>
            </w:tcBorders>
            <w:vAlign w:val="bottom"/>
            <w:hideMark/>
          </w:tcPr>
          <w:p w:rsidR="000F23FB" w:rsidRPr="000F23FB" w:rsidRDefault="000F23FB" w:rsidP="000F23FB">
            <w:pPr>
              <w:widowControl/>
              <w:jc w:val="right"/>
              <w:textAlignment w:val="bottom"/>
              <w:rPr>
                <w:rFonts w:ascii="宋体" w:eastAsia="宋体" w:hAnsi="宋体" w:cs="Times New Roman"/>
                <w:color w:val="000000"/>
                <w:sz w:val="20"/>
                <w:szCs w:val="20"/>
              </w:rPr>
            </w:pPr>
            <w:r w:rsidRPr="000F23FB">
              <w:rPr>
                <w:rFonts w:ascii="宋体" w:eastAsia="宋体" w:hAnsi="宋体" w:cs="Times New Roman" w:hint="eastAsia"/>
                <w:color w:val="000000"/>
                <w:kern w:val="0"/>
                <w:sz w:val="20"/>
                <w:szCs w:val="20"/>
              </w:rPr>
              <w:t>金额单位：万元</w:t>
            </w:r>
          </w:p>
        </w:tc>
      </w:tr>
      <w:tr w:rsidR="000F23FB" w:rsidRPr="000F23FB" w:rsidTr="000F23FB">
        <w:trPr>
          <w:trHeight w:val="329"/>
        </w:trPr>
        <w:tc>
          <w:tcPr>
            <w:tcW w:w="387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0"/>
                <w:szCs w:val="20"/>
              </w:rPr>
            </w:pPr>
            <w:r w:rsidRPr="000F23FB">
              <w:rPr>
                <w:rFonts w:ascii="宋体" w:eastAsia="宋体" w:hAnsi="宋体" w:cs="Times New Roman" w:hint="eastAsia"/>
                <w:color w:val="000000"/>
                <w:kern w:val="0"/>
                <w:sz w:val="20"/>
                <w:szCs w:val="20"/>
              </w:rPr>
              <w:t>人员经费</w:t>
            </w:r>
          </w:p>
        </w:tc>
        <w:tc>
          <w:tcPr>
            <w:tcW w:w="6682" w:type="dxa"/>
            <w:gridSpan w:val="6"/>
            <w:tcBorders>
              <w:top w:val="single" w:sz="4" w:space="0" w:color="000000"/>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0"/>
                <w:szCs w:val="20"/>
              </w:rPr>
            </w:pPr>
            <w:r w:rsidRPr="000F23FB">
              <w:rPr>
                <w:rFonts w:ascii="宋体" w:eastAsia="宋体" w:hAnsi="宋体" w:cs="Times New Roman" w:hint="eastAsia"/>
                <w:color w:val="000000"/>
                <w:kern w:val="0"/>
                <w:sz w:val="20"/>
                <w:szCs w:val="20"/>
              </w:rPr>
              <w:t>公用经费</w:t>
            </w:r>
          </w:p>
        </w:tc>
      </w:tr>
      <w:tr w:rsidR="000F23FB" w:rsidRPr="000F23FB" w:rsidTr="000F23FB">
        <w:trPr>
          <w:trHeight w:val="358"/>
        </w:trPr>
        <w:tc>
          <w:tcPr>
            <w:tcW w:w="488" w:type="dxa"/>
            <w:vMerge w:val="restart"/>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0"/>
                <w:szCs w:val="20"/>
              </w:rPr>
            </w:pPr>
            <w:r w:rsidRPr="000F23FB">
              <w:rPr>
                <w:rFonts w:ascii="宋体" w:eastAsia="宋体" w:hAnsi="宋体" w:cs="Times New Roman" w:hint="eastAsia"/>
                <w:color w:val="000000"/>
                <w:kern w:val="0"/>
                <w:sz w:val="20"/>
                <w:szCs w:val="20"/>
              </w:rPr>
              <w:t>经济分类科目编码</w:t>
            </w:r>
          </w:p>
        </w:tc>
        <w:tc>
          <w:tcPr>
            <w:tcW w:w="2325"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0"/>
                <w:szCs w:val="20"/>
              </w:rPr>
            </w:pPr>
            <w:r w:rsidRPr="000F23FB">
              <w:rPr>
                <w:rFonts w:ascii="宋体" w:eastAsia="宋体" w:hAnsi="宋体" w:cs="Times New Roman" w:hint="eastAsia"/>
                <w:color w:val="000000"/>
                <w:kern w:val="0"/>
                <w:sz w:val="20"/>
                <w:szCs w:val="20"/>
              </w:rPr>
              <w:t>科目名称</w:t>
            </w:r>
          </w:p>
        </w:tc>
        <w:tc>
          <w:tcPr>
            <w:tcW w:w="1065"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0"/>
                <w:szCs w:val="20"/>
              </w:rPr>
            </w:pPr>
            <w:r w:rsidRPr="000F23FB">
              <w:rPr>
                <w:rFonts w:ascii="宋体" w:eastAsia="宋体" w:hAnsi="宋体" w:cs="Times New Roman" w:hint="eastAsia"/>
                <w:color w:val="000000"/>
                <w:kern w:val="0"/>
                <w:sz w:val="20"/>
                <w:szCs w:val="20"/>
              </w:rPr>
              <w:t>金额</w:t>
            </w:r>
          </w:p>
        </w:tc>
        <w:tc>
          <w:tcPr>
            <w:tcW w:w="525"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0"/>
                <w:szCs w:val="20"/>
              </w:rPr>
            </w:pPr>
            <w:r w:rsidRPr="000F23FB">
              <w:rPr>
                <w:rFonts w:ascii="宋体" w:eastAsia="宋体" w:hAnsi="宋体" w:cs="Times New Roman" w:hint="eastAsia"/>
                <w:color w:val="000000"/>
                <w:kern w:val="0"/>
                <w:sz w:val="20"/>
                <w:szCs w:val="20"/>
              </w:rPr>
              <w:t>经济分类科目编码</w:t>
            </w:r>
          </w:p>
        </w:tc>
        <w:tc>
          <w:tcPr>
            <w:tcW w:w="1635"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0"/>
                <w:szCs w:val="20"/>
              </w:rPr>
            </w:pPr>
            <w:r w:rsidRPr="000F23FB">
              <w:rPr>
                <w:rFonts w:ascii="宋体" w:eastAsia="宋体" w:hAnsi="宋体" w:cs="Times New Roman" w:hint="eastAsia"/>
                <w:color w:val="000000"/>
                <w:kern w:val="0"/>
                <w:sz w:val="20"/>
                <w:szCs w:val="20"/>
              </w:rPr>
              <w:t>科目名称</w:t>
            </w:r>
          </w:p>
        </w:tc>
        <w:tc>
          <w:tcPr>
            <w:tcW w:w="1020"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0"/>
                <w:szCs w:val="20"/>
              </w:rPr>
            </w:pPr>
            <w:r w:rsidRPr="000F23FB">
              <w:rPr>
                <w:rFonts w:ascii="宋体" w:eastAsia="宋体" w:hAnsi="宋体" w:cs="Times New Roman" w:hint="eastAsia"/>
                <w:color w:val="000000"/>
                <w:kern w:val="0"/>
                <w:sz w:val="20"/>
                <w:szCs w:val="20"/>
              </w:rPr>
              <w:t>金额</w:t>
            </w:r>
          </w:p>
        </w:tc>
        <w:tc>
          <w:tcPr>
            <w:tcW w:w="495"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0"/>
                <w:szCs w:val="20"/>
              </w:rPr>
            </w:pPr>
            <w:r w:rsidRPr="000F23FB">
              <w:rPr>
                <w:rFonts w:ascii="宋体" w:eastAsia="宋体" w:hAnsi="宋体" w:cs="Times New Roman" w:hint="eastAsia"/>
                <w:color w:val="000000"/>
                <w:kern w:val="0"/>
                <w:sz w:val="20"/>
                <w:szCs w:val="20"/>
              </w:rPr>
              <w:t>经济分类科目编码</w:t>
            </w:r>
          </w:p>
        </w:tc>
        <w:tc>
          <w:tcPr>
            <w:tcW w:w="2067"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0"/>
                <w:szCs w:val="20"/>
              </w:rPr>
            </w:pPr>
            <w:r w:rsidRPr="000F23FB">
              <w:rPr>
                <w:rFonts w:ascii="宋体" w:eastAsia="宋体" w:hAnsi="宋体" w:cs="Times New Roman" w:hint="eastAsia"/>
                <w:color w:val="000000"/>
                <w:kern w:val="0"/>
                <w:sz w:val="20"/>
                <w:szCs w:val="20"/>
              </w:rPr>
              <w:t>科目名称</w:t>
            </w:r>
          </w:p>
        </w:tc>
        <w:tc>
          <w:tcPr>
            <w:tcW w:w="940"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0"/>
                <w:szCs w:val="20"/>
              </w:rPr>
            </w:pPr>
            <w:r w:rsidRPr="000F23FB">
              <w:rPr>
                <w:rFonts w:ascii="宋体" w:eastAsia="宋体" w:hAnsi="宋体" w:cs="Times New Roman" w:hint="eastAsia"/>
                <w:color w:val="000000"/>
                <w:kern w:val="0"/>
                <w:sz w:val="20"/>
                <w:szCs w:val="20"/>
              </w:rPr>
              <w:t>金额</w:t>
            </w:r>
          </w:p>
        </w:tc>
      </w:tr>
      <w:tr w:rsidR="000F23FB" w:rsidRPr="000F23FB" w:rsidTr="000F23FB">
        <w:trPr>
          <w:trHeight w:val="848"/>
        </w:trPr>
        <w:tc>
          <w:tcPr>
            <w:tcW w:w="10560" w:type="dxa"/>
            <w:vMerge/>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0"/>
                <w:szCs w:val="20"/>
              </w:rPr>
            </w:pPr>
          </w:p>
        </w:tc>
        <w:tc>
          <w:tcPr>
            <w:tcW w:w="2325"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0"/>
                <w:szCs w:val="20"/>
              </w:rPr>
            </w:pPr>
          </w:p>
        </w:tc>
        <w:tc>
          <w:tcPr>
            <w:tcW w:w="1065"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0"/>
                <w:szCs w:val="20"/>
              </w:rPr>
            </w:pPr>
          </w:p>
        </w:tc>
        <w:tc>
          <w:tcPr>
            <w:tcW w:w="6682"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0"/>
                <w:szCs w:val="20"/>
              </w:rPr>
            </w:pPr>
          </w:p>
        </w:tc>
        <w:tc>
          <w:tcPr>
            <w:tcW w:w="1635"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0"/>
                <w:szCs w:val="20"/>
              </w:rPr>
            </w:pPr>
          </w:p>
        </w:tc>
        <w:tc>
          <w:tcPr>
            <w:tcW w:w="1020"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0"/>
                <w:szCs w:val="20"/>
              </w:rPr>
            </w:pPr>
          </w:p>
        </w:tc>
        <w:tc>
          <w:tcPr>
            <w:tcW w:w="495"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0"/>
                <w:szCs w:val="20"/>
              </w:rPr>
            </w:pPr>
          </w:p>
        </w:tc>
        <w:tc>
          <w:tcPr>
            <w:tcW w:w="3007"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0"/>
                <w:szCs w:val="20"/>
              </w:rPr>
            </w:pPr>
          </w:p>
        </w:tc>
        <w:tc>
          <w:tcPr>
            <w:tcW w:w="940"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0"/>
                <w:szCs w:val="20"/>
              </w:rPr>
            </w:pP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16"/>
                <w:szCs w:val="16"/>
              </w:rPr>
              <w:t>301</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16"/>
                <w:szCs w:val="16"/>
              </w:rPr>
              <w:t>工资福利支出</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589.67</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商品和服务支出</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77.23</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307</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债务利息及费用支出</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16"/>
                <w:szCs w:val="16"/>
              </w:rPr>
              <w:t>30101</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16"/>
                <w:szCs w:val="16"/>
              </w:rPr>
              <w:t xml:space="preserve">  基本工资</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217.45</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30201</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办公费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6.90</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30701</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国内债务付息</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16"/>
                <w:szCs w:val="16"/>
              </w:rPr>
              <w:t>30102</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16"/>
                <w:szCs w:val="16"/>
              </w:rPr>
              <w:t xml:space="preserve">  津贴补贴</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199.25</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30202</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印刷费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1.85</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30702</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国外债务付息</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16"/>
                <w:szCs w:val="16"/>
              </w:rPr>
              <w:lastRenderedPageBreak/>
              <w:t>30103</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16"/>
                <w:szCs w:val="16"/>
              </w:rPr>
              <w:t xml:space="preserve">  奖金</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30.68</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30203</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咨询费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2.00</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310</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资本性支出</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30106</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伙食补助费</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30204</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手续费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0.04</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31001</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房屋建筑物购建</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30107</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绩效工资</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30205</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水费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0.19</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31002</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办公设备购置</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30108</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机关事业单位基本养老保险缴费</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74.45</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30206</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电费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1.93</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31003</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专用设备购置</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30109</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职业年金缴费</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2.57</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30207</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邮电费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2.39</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31005</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基础设施建设</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30110</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职工基本医疗保险缴费</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19.95</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30208</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取暖费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9.78</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31006</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大型修缮</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30111</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公务员医疗补助缴费</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30209</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物业管理费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0.10</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31007</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信息网络及软件购置更新</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30112</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其他社会保障缴费</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1.71</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30211</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差旅费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15.29</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31008</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物资储备</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30113</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住房公积金</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43.62</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30212</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因公出国（境）费用</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31009</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土地补偿</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30114</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医疗费</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30213</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维修（护）费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7.05</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31010</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安置补助</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30199</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其他工资福利支出</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30214</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租赁费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0.71</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31011</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地上附着物和青苗补偿</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303</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对个人和家庭的补助</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20.62</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30215</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会议费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31012</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拆迁补偿</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30301</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离休费</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30216</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培训费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0.34</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31013</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公务用车购置</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30302</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退休费</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19.27</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30217</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公务接待费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31019</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其他交通工具购置</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30303</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退职（役）费</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30218</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专用材料费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2.35</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31021</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文物和陈列品购置</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30304</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抚恤金</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30224</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被装购置费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31022</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无形资产购置</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30305</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生活补助</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30225</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专用燃料费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31099</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其他资本性支出</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30306</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救济费</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30226</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劳务费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399</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其他支出</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30307</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医疗费补助</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30227</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委托业务费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39906</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赠与</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30308</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助学金</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30228</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工会经费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39907</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国家赔偿费用支出</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30309</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奖励金</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0.78</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30229</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福利费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2.00</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39908</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1"/>
                <w:szCs w:val="11"/>
              </w:rPr>
            </w:pPr>
            <w:r w:rsidRPr="000F23FB">
              <w:rPr>
                <w:rFonts w:ascii="宋体" w:eastAsia="宋体" w:hAnsi="宋体" w:cs="Times New Roman" w:hint="eastAsia"/>
                <w:color w:val="000000"/>
                <w:kern w:val="0"/>
                <w:sz w:val="11"/>
                <w:szCs w:val="11"/>
              </w:rPr>
              <w:t>对民间非营利组织和群众性自治组织补贴</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kern w:val="0"/>
                <w:sz w:val="11"/>
                <w:szCs w:val="11"/>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30310</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个人农业生产补贴</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30231</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公务用车运行维护费</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6.00</w:t>
            </w:r>
          </w:p>
        </w:tc>
        <w:tc>
          <w:tcPr>
            <w:tcW w:w="49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39999</w:t>
            </w:r>
          </w:p>
        </w:tc>
        <w:tc>
          <w:tcPr>
            <w:tcW w:w="2067"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其他支出</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30399</w:t>
            </w: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其他对个人和家庭的补助支出</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0.57</w:t>
            </w: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30239</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其他交通费用</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495" w:type="dxa"/>
            <w:tcBorders>
              <w:top w:val="nil"/>
              <w:left w:val="nil"/>
              <w:bottom w:val="single" w:sz="4" w:space="0" w:color="000000"/>
              <w:right w:val="single" w:sz="4" w:space="0" w:color="000000"/>
            </w:tcBorders>
            <w:shd w:val="clear" w:color="auto" w:fill="C0C0C0"/>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p>
        </w:tc>
        <w:tc>
          <w:tcPr>
            <w:tcW w:w="2067" w:type="dxa"/>
            <w:tcBorders>
              <w:top w:val="nil"/>
              <w:left w:val="nil"/>
              <w:bottom w:val="single" w:sz="4" w:space="0" w:color="000000"/>
              <w:right w:val="single" w:sz="4" w:space="0" w:color="000000"/>
            </w:tcBorders>
            <w:shd w:val="clear" w:color="auto" w:fill="C0C0C0"/>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p>
        </w:tc>
        <w:tc>
          <w:tcPr>
            <w:tcW w:w="94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16"/>
                <w:szCs w:val="16"/>
              </w:rPr>
            </w:pP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p>
        </w:tc>
        <w:tc>
          <w:tcPr>
            <w:tcW w:w="23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w:t>
            </w:r>
          </w:p>
        </w:tc>
        <w:tc>
          <w:tcPr>
            <w:tcW w:w="106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16"/>
                <w:szCs w:val="16"/>
              </w:rPr>
            </w:pP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30240</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税金及附加费用</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0.00</w:t>
            </w:r>
          </w:p>
        </w:tc>
        <w:tc>
          <w:tcPr>
            <w:tcW w:w="495" w:type="dxa"/>
            <w:tcBorders>
              <w:top w:val="nil"/>
              <w:left w:val="nil"/>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16"/>
                <w:szCs w:val="16"/>
              </w:rPr>
            </w:pPr>
          </w:p>
        </w:tc>
        <w:tc>
          <w:tcPr>
            <w:tcW w:w="2067" w:type="dxa"/>
            <w:tcBorders>
              <w:top w:val="nil"/>
              <w:left w:val="nil"/>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16"/>
                <w:szCs w:val="16"/>
              </w:rPr>
            </w:pPr>
          </w:p>
        </w:tc>
        <w:tc>
          <w:tcPr>
            <w:tcW w:w="94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16"/>
                <w:szCs w:val="16"/>
              </w:rPr>
            </w:pPr>
          </w:p>
        </w:tc>
      </w:tr>
      <w:tr w:rsidR="000F23FB" w:rsidRPr="000F23FB" w:rsidTr="000F23FB">
        <w:trPr>
          <w:trHeight w:val="329"/>
        </w:trPr>
        <w:tc>
          <w:tcPr>
            <w:tcW w:w="488" w:type="dxa"/>
            <w:tcBorders>
              <w:top w:val="nil"/>
              <w:left w:val="single" w:sz="4" w:space="0" w:color="000000"/>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16"/>
                <w:szCs w:val="16"/>
              </w:rPr>
            </w:pPr>
          </w:p>
        </w:tc>
        <w:tc>
          <w:tcPr>
            <w:tcW w:w="2325" w:type="dxa"/>
            <w:tcBorders>
              <w:top w:val="nil"/>
              <w:left w:val="nil"/>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16"/>
                <w:szCs w:val="16"/>
              </w:rPr>
            </w:pPr>
          </w:p>
        </w:tc>
        <w:tc>
          <w:tcPr>
            <w:tcW w:w="106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16"/>
                <w:szCs w:val="16"/>
              </w:rPr>
            </w:pPr>
          </w:p>
        </w:tc>
        <w:tc>
          <w:tcPr>
            <w:tcW w:w="52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30299</w:t>
            </w:r>
          </w:p>
        </w:tc>
        <w:tc>
          <w:tcPr>
            <w:tcW w:w="16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left"/>
              <w:textAlignment w:val="center"/>
              <w:rPr>
                <w:rFonts w:ascii="宋体" w:eastAsia="宋体" w:hAnsi="宋体" w:cs="Times New Roman" w:hint="eastAsia"/>
                <w:color w:val="000000"/>
                <w:kern w:val="0"/>
                <w:sz w:val="16"/>
                <w:szCs w:val="16"/>
              </w:rPr>
            </w:pPr>
            <w:r w:rsidRPr="000F23FB">
              <w:rPr>
                <w:rFonts w:ascii="宋体" w:eastAsia="宋体" w:hAnsi="宋体" w:cs="Times New Roman" w:hint="eastAsia"/>
                <w:color w:val="000000"/>
                <w:kern w:val="0"/>
                <w:sz w:val="16"/>
                <w:szCs w:val="16"/>
              </w:rPr>
              <w:t xml:space="preserve">  其他商品和服务支出</w:t>
            </w:r>
          </w:p>
        </w:tc>
        <w:tc>
          <w:tcPr>
            <w:tcW w:w="102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18.31</w:t>
            </w:r>
          </w:p>
        </w:tc>
        <w:tc>
          <w:tcPr>
            <w:tcW w:w="495" w:type="dxa"/>
            <w:tcBorders>
              <w:top w:val="nil"/>
              <w:left w:val="nil"/>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16"/>
                <w:szCs w:val="16"/>
              </w:rPr>
            </w:pPr>
          </w:p>
        </w:tc>
        <w:tc>
          <w:tcPr>
            <w:tcW w:w="2067" w:type="dxa"/>
            <w:tcBorders>
              <w:top w:val="nil"/>
              <w:left w:val="nil"/>
              <w:bottom w:val="single" w:sz="4" w:space="0" w:color="000000"/>
              <w:right w:val="single" w:sz="4" w:space="0" w:color="000000"/>
            </w:tcBorders>
            <w:shd w:val="clear" w:color="auto" w:fill="C0C0C0"/>
            <w:vAlign w:val="center"/>
          </w:tcPr>
          <w:p w:rsidR="000F23FB" w:rsidRPr="000F23FB" w:rsidRDefault="000F23FB" w:rsidP="000F23FB">
            <w:pPr>
              <w:jc w:val="left"/>
              <w:rPr>
                <w:rFonts w:ascii="宋体" w:eastAsia="宋体" w:hAnsi="宋体" w:cs="Times New Roman" w:hint="eastAsia"/>
                <w:color w:val="000000"/>
                <w:sz w:val="16"/>
                <w:szCs w:val="16"/>
              </w:rPr>
            </w:pPr>
          </w:p>
        </w:tc>
        <w:tc>
          <w:tcPr>
            <w:tcW w:w="94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16"/>
                <w:szCs w:val="16"/>
              </w:rPr>
            </w:pPr>
          </w:p>
        </w:tc>
      </w:tr>
      <w:tr w:rsidR="000F23FB" w:rsidRPr="000F23FB" w:rsidTr="000F23FB">
        <w:trPr>
          <w:trHeight w:val="329"/>
        </w:trPr>
        <w:tc>
          <w:tcPr>
            <w:tcW w:w="2813" w:type="dxa"/>
            <w:gridSpan w:val="2"/>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16"/>
                <w:szCs w:val="16"/>
              </w:rPr>
              <w:t>人员经费合计</w:t>
            </w:r>
          </w:p>
        </w:tc>
        <w:tc>
          <w:tcPr>
            <w:tcW w:w="10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610.29</w:t>
            </w:r>
          </w:p>
        </w:tc>
        <w:tc>
          <w:tcPr>
            <w:tcW w:w="5742" w:type="dxa"/>
            <w:gridSpan w:val="5"/>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16"/>
                <w:szCs w:val="16"/>
              </w:rPr>
              <w:t>公用经费合计</w:t>
            </w:r>
          </w:p>
        </w:tc>
        <w:tc>
          <w:tcPr>
            <w:tcW w:w="94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22"/>
              </w:rPr>
              <w:t>77.23</w:t>
            </w:r>
          </w:p>
        </w:tc>
      </w:tr>
      <w:tr w:rsidR="000F23FB" w:rsidRPr="000F23FB" w:rsidTr="000F23FB">
        <w:trPr>
          <w:trHeight w:val="329"/>
        </w:trPr>
        <w:tc>
          <w:tcPr>
            <w:tcW w:w="10560" w:type="dxa"/>
            <w:gridSpan w:val="9"/>
            <w:tcBorders>
              <w:top w:val="nil"/>
              <w:left w:val="nil"/>
              <w:bottom w:val="nil"/>
              <w:right w:val="nil"/>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16"/>
                <w:szCs w:val="16"/>
              </w:rPr>
            </w:pPr>
            <w:r w:rsidRPr="000F23FB">
              <w:rPr>
                <w:rFonts w:ascii="宋体" w:eastAsia="宋体" w:hAnsi="宋体" w:cs="Times New Roman" w:hint="eastAsia"/>
                <w:color w:val="000000"/>
                <w:kern w:val="0"/>
                <w:sz w:val="18"/>
                <w:szCs w:val="18"/>
              </w:rPr>
              <w:t>注：本表反映部门本年度一般公共预算财政拨款基本支出明细情况。本表金额转换为万元时，因四舍五入可能存在尾差。</w:t>
            </w:r>
          </w:p>
        </w:tc>
      </w:tr>
    </w:tbl>
    <w:p w:rsidR="000F23FB" w:rsidRPr="000F23FB" w:rsidRDefault="000F23FB" w:rsidP="000F23FB">
      <w:pPr>
        <w:jc w:val="center"/>
        <w:rPr>
          <w:rFonts w:ascii="宋体" w:eastAsia="宋体" w:hAnsi="宋体" w:cs="Times New Roman" w:hint="eastAsia"/>
          <w:szCs w:val="21"/>
        </w:rPr>
      </w:pPr>
      <w:r w:rsidRPr="000F23FB">
        <w:rPr>
          <w:rFonts w:ascii="宋体" w:eastAsia="宋体" w:hAnsi="宋体" w:cs="Times New Roman" w:hint="eastAsia"/>
          <w:szCs w:val="21"/>
        </w:rPr>
        <w:t xml:space="preserve"> </w:t>
      </w:r>
    </w:p>
    <w:tbl>
      <w:tblPr>
        <w:tblW w:w="0" w:type="auto"/>
        <w:tblInd w:w="135" w:type="dxa"/>
        <w:tblLayout w:type="fixed"/>
        <w:tblCellMar>
          <w:top w:w="15" w:type="dxa"/>
          <w:left w:w="15" w:type="dxa"/>
          <w:bottom w:w="15" w:type="dxa"/>
          <w:right w:w="15" w:type="dxa"/>
        </w:tblCellMar>
        <w:tblLook w:val="04A0" w:firstRow="1" w:lastRow="0" w:firstColumn="1" w:lastColumn="0" w:noHBand="0" w:noVBand="1"/>
      </w:tblPr>
      <w:tblGrid>
        <w:gridCol w:w="857"/>
        <w:gridCol w:w="810"/>
        <w:gridCol w:w="754"/>
        <w:gridCol w:w="1166"/>
        <w:gridCol w:w="1005"/>
        <w:gridCol w:w="735"/>
        <w:gridCol w:w="765"/>
        <w:gridCol w:w="960"/>
        <w:gridCol w:w="704"/>
        <w:gridCol w:w="946"/>
        <w:gridCol w:w="990"/>
        <w:gridCol w:w="796"/>
      </w:tblGrid>
      <w:tr w:rsidR="000F23FB" w:rsidRPr="000F23FB" w:rsidTr="000F23FB">
        <w:trPr>
          <w:trHeight w:val="954"/>
        </w:trPr>
        <w:tc>
          <w:tcPr>
            <w:tcW w:w="10488" w:type="dxa"/>
            <w:gridSpan w:val="12"/>
            <w:tcBorders>
              <w:top w:val="nil"/>
              <w:left w:val="nil"/>
              <w:bottom w:val="nil"/>
              <w:right w:val="nil"/>
            </w:tcBorders>
            <w:vAlign w:val="bottom"/>
          </w:tcPr>
          <w:p w:rsidR="000F23FB" w:rsidRPr="000F23FB" w:rsidRDefault="000F23FB" w:rsidP="000F23FB">
            <w:pPr>
              <w:autoSpaceDE w:val="0"/>
              <w:spacing w:before="100" w:beforeAutospacing="1" w:after="100" w:afterAutospacing="1" w:line="560" w:lineRule="exact"/>
              <w:jc w:val="center"/>
              <w:rPr>
                <w:rFonts w:ascii="黑体" w:eastAsia="黑体" w:hAnsi="黑体" w:cs="Times New Roman" w:hint="eastAsia"/>
                <w:sz w:val="32"/>
                <w:szCs w:val="32"/>
              </w:rPr>
            </w:pPr>
            <w:bookmarkStart w:id="18" w:name="_Toc18553"/>
            <w:r w:rsidRPr="000F23FB">
              <w:rPr>
                <w:rFonts w:ascii="黑体" w:eastAsia="黑体" w:hAnsi="黑体" w:cs="Times New Roman" w:hint="eastAsia"/>
                <w:sz w:val="32"/>
                <w:szCs w:val="32"/>
              </w:rPr>
              <w:t>一般公共预算财政拨款“三公”经费支出决算表</w:t>
            </w:r>
            <w:bookmarkEnd w:id="18"/>
          </w:p>
          <w:p w:rsidR="000F23FB" w:rsidRPr="000F23FB" w:rsidRDefault="000F23FB" w:rsidP="000F23FB">
            <w:pPr>
              <w:rPr>
                <w:rFonts w:ascii="Arial" w:eastAsia="宋体" w:hAnsi="Arial" w:cs="Arial" w:hint="eastAsia"/>
                <w:color w:val="000000"/>
                <w:sz w:val="20"/>
                <w:szCs w:val="20"/>
              </w:rPr>
            </w:pPr>
          </w:p>
        </w:tc>
      </w:tr>
      <w:tr w:rsidR="000F23FB" w:rsidRPr="000F23FB" w:rsidTr="000F23FB">
        <w:trPr>
          <w:trHeight w:val="369"/>
        </w:trPr>
        <w:tc>
          <w:tcPr>
            <w:tcW w:w="10488" w:type="dxa"/>
            <w:gridSpan w:val="12"/>
            <w:tcBorders>
              <w:top w:val="nil"/>
              <w:left w:val="nil"/>
              <w:bottom w:val="nil"/>
              <w:right w:val="nil"/>
            </w:tcBorders>
            <w:vAlign w:val="bottom"/>
            <w:hideMark/>
          </w:tcPr>
          <w:p w:rsidR="000F23FB" w:rsidRPr="000F23FB" w:rsidRDefault="000F23FB" w:rsidP="000F23FB">
            <w:pPr>
              <w:widowControl/>
              <w:jc w:val="right"/>
              <w:textAlignment w:val="bottom"/>
              <w:rPr>
                <w:rFonts w:ascii="宋体" w:eastAsia="宋体" w:hAnsi="宋体" w:cs="Times New Roman"/>
                <w:color w:val="000000"/>
                <w:sz w:val="20"/>
                <w:szCs w:val="20"/>
              </w:rPr>
            </w:pPr>
            <w:r w:rsidRPr="000F23FB">
              <w:rPr>
                <w:rFonts w:ascii="宋体" w:eastAsia="宋体" w:hAnsi="宋体" w:cs="Times New Roman" w:hint="eastAsia"/>
                <w:color w:val="000000"/>
                <w:kern w:val="0"/>
                <w:sz w:val="20"/>
                <w:szCs w:val="20"/>
              </w:rPr>
              <w:t>公开07表</w:t>
            </w:r>
          </w:p>
        </w:tc>
      </w:tr>
      <w:tr w:rsidR="000F23FB" w:rsidRPr="000F23FB" w:rsidTr="000F23FB">
        <w:trPr>
          <w:trHeight w:val="324"/>
        </w:trPr>
        <w:tc>
          <w:tcPr>
            <w:tcW w:w="4592" w:type="dxa"/>
            <w:gridSpan w:val="5"/>
            <w:tcBorders>
              <w:top w:val="nil"/>
              <w:left w:val="nil"/>
              <w:bottom w:val="nil"/>
              <w:right w:val="nil"/>
            </w:tcBorders>
            <w:vAlign w:val="bottom"/>
            <w:hideMark/>
          </w:tcPr>
          <w:p w:rsidR="000F23FB" w:rsidRPr="000F23FB" w:rsidRDefault="000F23FB" w:rsidP="000F23FB">
            <w:pPr>
              <w:widowControl/>
              <w:jc w:val="left"/>
              <w:textAlignment w:val="bottom"/>
              <w:rPr>
                <w:rFonts w:ascii="宋体" w:eastAsia="宋体" w:hAnsi="宋体" w:cs="Times New Roman" w:hint="eastAsia"/>
                <w:color w:val="000000"/>
                <w:sz w:val="20"/>
                <w:szCs w:val="20"/>
              </w:rPr>
            </w:pPr>
            <w:r w:rsidRPr="000F23FB">
              <w:rPr>
                <w:rFonts w:ascii="宋体" w:eastAsia="宋体" w:hAnsi="宋体" w:cs="Times New Roman" w:hint="eastAsia"/>
                <w:color w:val="000000"/>
                <w:kern w:val="0"/>
                <w:sz w:val="20"/>
                <w:szCs w:val="20"/>
              </w:rPr>
              <w:t>部门：双鸭山市住房公积金管理中心</w:t>
            </w:r>
          </w:p>
          <w:p w:rsidR="000F23FB" w:rsidRPr="000F23FB" w:rsidRDefault="000F23FB" w:rsidP="000F23FB">
            <w:pPr>
              <w:rPr>
                <w:rFonts w:ascii="Arial" w:eastAsia="宋体" w:hAnsi="Arial" w:cs="Arial" w:hint="eastAsia"/>
                <w:color w:val="000000"/>
                <w:sz w:val="20"/>
                <w:szCs w:val="20"/>
              </w:rPr>
            </w:pPr>
            <w:r w:rsidRPr="000F23FB">
              <w:rPr>
                <w:rFonts w:ascii="Arial" w:eastAsia="宋体" w:hAnsi="Arial" w:cs="Arial" w:hint="eastAsia"/>
                <w:color w:val="000000"/>
                <w:sz w:val="20"/>
                <w:szCs w:val="20"/>
              </w:rPr>
              <w:t xml:space="preserve">  </w:t>
            </w:r>
          </w:p>
        </w:tc>
        <w:tc>
          <w:tcPr>
            <w:tcW w:w="3164" w:type="dxa"/>
            <w:gridSpan w:val="4"/>
            <w:tcBorders>
              <w:top w:val="nil"/>
              <w:left w:val="nil"/>
              <w:bottom w:val="nil"/>
              <w:right w:val="nil"/>
            </w:tcBorders>
            <w:vAlign w:val="bottom"/>
            <w:hideMark/>
          </w:tcPr>
          <w:p w:rsidR="000F23FB" w:rsidRPr="000F23FB" w:rsidRDefault="000F23FB" w:rsidP="000F23FB">
            <w:pPr>
              <w:rPr>
                <w:rFonts w:ascii="Arial" w:eastAsia="宋体" w:hAnsi="Arial" w:cs="Arial" w:hint="eastAsia"/>
                <w:color w:val="000000"/>
                <w:sz w:val="20"/>
                <w:szCs w:val="20"/>
              </w:rPr>
            </w:pPr>
            <w:r w:rsidRPr="000F23FB">
              <w:rPr>
                <w:rFonts w:ascii="Arial" w:eastAsia="宋体" w:hAnsi="Arial" w:cs="Arial" w:hint="eastAsia"/>
                <w:color w:val="000000"/>
                <w:sz w:val="20"/>
                <w:szCs w:val="20"/>
              </w:rPr>
              <w:t>2018</w:t>
            </w:r>
            <w:r w:rsidRPr="000F23FB">
              <w:rPr>
                <w:rFonts w:ascii="宋体" w:eastAsia="宋体" w:hAnsi="宋体" w:cs="Arial" w:hint="eastAsia"/>
                <w:color w:val="000000"/>
                <w:sz w:val="20"/>
                <w:szCs w:val="20"/>
              </w:rPr>
              <w:t>年度</w:t>
            </w:r>
          </w:p>
        </w:tc>
        <w:tc>
          <w:tcPr>
            <w:tcW w:w="946" w:type="dxa"/>
            <w:tcBorders>
              <w:top w:val="nil"/>
              <w:left w:val="nil"/>
              <w:bottom w:val="single" w:sz="4" w:space="0" w:color="000000"/>
              <w:right w:val="nil"/>
            </w:tcBorders>
            <w:vAlign w:val="bottom"/>
          </w:tcPr>
          <w:p w:rsidR="000F23FB" w:rsidRPr="000F23FB" w:rsidRDefault="000F23FB" w:rsidP="000F23FB">
            <w:pPr>
              <w:rPr>
                <w:rFonts w:ascii="Arial" w:eastAsia="宋体" w:hAnsi="Arial" w:cs="Arial" w:hint="eastAsia"/>
                <w:color w:val="000000"/>
                <w:sz w:val="20"/>
                <w:szCs w:val="20"/>
              </w:rPr>
            </w:pPr>
          </w:p>
        </w:tc>
        <w:tc>
          <w:tcPr>
            <w:tcW w:w="1786" w:type="dxa"/>
            <w:gridSpan w:val="2"/>
            <w:tcBorders>
              <w:top w:val="nil"/>
              <w:left w:val="nil"/>
              <w:bottom w:val="single" w:sz="4" w:space="0" w:color="000000"/>
              <w:right w:val="nil"/>
            </w:tcBorders>
            <w:vAlign w:val="bottom"/>
            <w:hideMark/>
          </w:tcPr>
          <w:p w:rsidR="000F23FB" w:rsidRPr="000F23FB" w:rsidRDefault="000F23FB" w:rsidP="000F23FB">
            <w:pPr>
              <w:widowControl/>
              <w:jc w:val="right"/>
              <w:textAlignment w:val="bottom"/>
              <w:rPr>
                <w:rFonts w:ascii="宋体" w:eastAsia="宋体" w:hAnsi="宋体" w:cs="Times New Roman"/>
                <w:color w:val="000000"/>
                <w:sz w:val="20"/>
                <w:szCs w:val="20"/>
              </w:rPr>
            </w:pPr>
            <w:r w:rsidRPr="000F23FB">
              <w:rPr>
                <w:rFonts w:ascii="宋体" w:eastAsia="宋体" w:hAnsi="宋体" w:cs="Times New Roman" w:hint="eastAsia"/>
                <w:color w:val="000000"/>
                <w:kern w:val="0"/>
                <w:sz w:val="20"/>
                <w:szCs w:val="20"/>
              </w:rPr>
              <w:t>金额单位：万元</w:t>
            </w:r>
          </w:p>
        </w:tc>
      </w:tr>
      <w:tr w:rsidR="000F23FB" w:rsidRPr="000F23FB" w:rsidTr="000F23FB">
        <w:trPr>
          <w:trHeight w:val="384"/>
        </w:trPr>
        <w:tc>
          <w:tcPr>
            <w:tcW w:w="5327" w:type="dxa"/>
            <w:gridSpan w:val="6"/>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预算数</w:t>
            </w:r>
          </w:p>
        </w:tc>
        <w:tc>
          <w:tcPr>
            <w:tcW w:w="5161" w:type="dxa"/>
            <w:gridSpan w:val="6"/>
            <w:tcBorders>
              <w:top w:val="single" w:sz="4" w:space="0" w:color="000000"/>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决算数</w:t>
            </w:r>
          </w:p>
        </w:tc>
      </w:tr>
      <w:tr w:rsidR="000F23FB" w:rsidRPr="000F23FB" w:rsidTr="000F23FB">
        <w:trPr>
          <w:trHeight w:val="604"/>
        </w:trPr>
        <w:tc>
          <w:tcPr>
            <w:tcW w:w="857" w:type="dxa"/>
            <w:vMerge w:val="restart"/>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合计</w:t>
            </w:r>
          </w:p>
        </w:tc>
        <w:tc>
          <w:tcPr>
            <w:tcW w:w="810" w:type="dxa"/>
            <w:vMerge w:val="restart"/>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因公出国（境）费</w:t>
            </w:r>
          </w:p>
        </w:tc>
        <w:tc>
          <w:tcPr>
            <w:tcW w:w="2925" w:type="dxa"/>
            <w:gridSpan w:val="3"/>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公务用车购置及运行费</w:t>
            </w:r>
          </w:p>
        </w:tc>
        <w:tc>
          <w:tcPr>
            <w:tcW w:w="735" w:type="dxa"/>
            <w:vMerge w:val="restart"/>
            <w:tcBorders>
              <w:top w:val="nil"/>
              <w:left w:val="nil"/>
              <w:bottom w:val="nil"/>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公务接待费</w:t>
            </w:r>
          </w:p>
        </w:tc>
        <w:tc>
          <w:tcPr>
            <w:tcW w:w="765" w:type="dxa"/>
            <w:vMerge w:val="restart"/>
            <w:tcBorders>
              <w:top w:val="nil"/>
              <w:left w:val="nil"/>
              <w:bottom w:val="nil"/>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合计</w:t>
            </w:r>
          </w:p>
        </w:tc>
        <w:tc>
          <w:tcPr>
            <w:tcW w:w="960" w:type="dxa"/>
            <w:vMerge w:val="restart"/>
            <w:tcBorders>
              <w:top w:val="nil"/>
              <w:left w:val="nil"/>
              <w:bottom w:val="nil"/>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因公出国（境）费</w:t>
            </w:r>
          </w:p>
        </w:tc>
        <w:tc>
          <w:tcPr>
            <w:tcW w:w="2640" w:type="dxa"/>
            <w:gridSpan w:val="3"/>
            <w:tcBorders>
              <w:top w:val="nil"/>
              <w:left w:val="nil"/>
              <w:bottom w:val="nil"/>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公务用车购置及运行费</w:t>
            </w:r>
          </w:p>
        </w:tc>
        <w:tc>
          <w:tcPr>
            <w:tcW w:w="796" w:type="dxa"/>
            <w:vMerge w:val="restart"/>
            <w:tcBorders>
              <w:top w:val="nil"/>
              <w:left w:val="nil"/>
              <w:bottom w:val="nil"/>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公务接待费</w:t>
            </w:r>
          </w:p>
        </w:tc>
      </w:tr>
      <w:tr w:rsidR="000F23FB" w:rsidRPr="000F23FB" w:rsidTr="000F23FB">
        <w:trPr>
          <w:trHeight w:val="1369"/>
        </w:trPr>
        <w:tc>
          <w:tcPr>
            <w:tcW w:w="300" w:type="dxa"/>
            <w:vMerge/>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300" w:type="dxa"/>
            <w:vMerge/>
            <w:tcBorders>
              <w:top w:val="nil"/>
              <w:left w:val="nil"/>
              <w:bottom w:val="single" w:sz="4" w:space="0" w:color="000000"/>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754"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小计</w:t>
            </w:r>
          </w:p>
        </w:tc>
        <w:tc>
          <w:tcPr>
            <w:tcW w:w="1166"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kern w:val="0"/>
                <w:sz w:val="22"/>
              </w:rPr>
            </w:pPr>
            <w:r w:rsidRPr="000F23FB">
              <w:rPr>
                <w:rFonts w:ascii="宋体" w:eastAsia="宋体" w:hAnsi="宋体" w:cs="Times New Roman" w:hint="eastAsia"/>
                <w:color w:val="000000"/>
                <w:kern w:val="0"/>
                <w:sz w:val="22"/>
              </w:rPr>
              <w:t>公务用车</w:t>
            </w:r>
          </w:p>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购置费</w:t>
            </w:r>
          </w:p>
        </w:tc>
        <w:tc>
          <w:tcPr>
            <w:tcW w:w="100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公务用车运行费</w:t>
            </w:r>
          </w:p>
        </w:tc>
        <w:tc>
          <w:tcPr>
            <w:tcW w:w="300" w:type="dxa"/>
            <w:vMerge/>
            <w:tcBorders>
              <w:top w:val="nil"/>
              <w:left w:val="nil"/>
              <w:bottom w:val="nil"/>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300" w:type="dxa"/>
            <w:vMerge/>
            <w:tcBorders>
              <w:top w:val="nil"/>
              <w:left w:val="nil"/>
              <w:bottom w:val="nil"/>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300" w:type="dxa"/>
            <w:vMerge/>
            <w:tcBorders>
              <w:top w:val="nil"/>
              <w:left w:val="nil"/>
              <w:bottom w:val="nil"/>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704"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小计</w:t>
            </w:r>
          </w:p>
        </w:tc>
        <w:tc>
          <w:tcPr>
            <w:tcW w:w="946"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公务用车购置费</w:t>
            </w:r>
          </w:p>
        </w:tc>
        <w:tc>
          <w:tcPr>
            <w:tcW w:w="99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公务用车运行费</w:t>
            </w:r>
          </w:p>
        </w:tc>
        <w:tc>
          <w:tcPr>
            <w:tcW w:w="1096" w:type="dxa"/>
            <w:vMerge/>
            <w:tcBorders>
              <w:top w:val="nil"/>
              <w:left w:val="nil"/>
              <w:bottom w:val="nil"/>
              <w:right w:val="single" w:sz="4" w:space="0" w:color="000000"/>
            </w:tcBorders>
            <w:vAlign w:val="center"/>
            <w:hideMark/>
          </w:tcPr>
          <w:p w:rsidR="000F23FB" w:rsidRPr="000F23FB" w:rsidRDefault="000F23FB" w:rsidP="000F23FB">
            <w:pPr>
              <w:widowControl/>
              <w:jc w:val="left"/>
              <w:rPr>
                <w:rFonts w:ascii="宋体" w:eastAsia="宋体" w:hAnsi="宋体" w:cs="Times New Roman"/>
                <w:color w:val="000000"/>
                <w:sz w:val="22"/>
              </w:rPr>
            </w:pPr>
          </w:p>
        </w:tc>
      </w:tr>
      <w:tr w:rsidR="000F23FB" w:rsidRPr="000F23FB" w:rsidTr="000F23FB">
        <w:trPr>
          <w:trHeight w:val="384"/>
        </w:trPr>
        <w:tc>
          <w:tcPr>
            <w:tcW w:w="857"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lastRenderedPageBreak/>
              <w:t>1</w:t>
            </w:r>
          </w:p>
        </w:tc>
        <w:tc>
          <w:tcPr>
            <w:tcW w:w="81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w:t>
            </w:r>
          </w:p>
        </w:tc>
        <w:tc>
          <w:tcPr>
            <w:tcW w:w="754"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w:t>
            </w:r>
          </w:p>
        </w:tc>
        <w:tc>
          <w:tcPr>
            <w:tcW w:w="1166"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w:t>
            </w:r>
          </w:p>
        </w:tc>
        <w:tc>
          <w:tcPr>
            <w:tcW w:w="100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w:t>
            </w:r>
          </w:p>
        </w:tc>
        <w:tc>
          <w:tcPr>
            <w:tcW w:w="73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6</w:t>
            </w:r>
          </w:p>
        </w:tc>
        <w:tc>
          <w:tcPr>
            <w:tcW w:w="765"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7</w:t>
            </w:r>
          </w:p>
        </w:tc>
        <w:tc>
          <w:tcPr>
            <w:tcW w:w="96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8</w:t>
            </w:r>
          </w:p>
        </w:tc>
        <w:tc>
          <w:tcPr>
            <w:tcW w:w="704"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9</w:t>
            </w:r>
          </w:p>
        </w:tc>
        <w:tc>
          <w:tcPr>
            <w:tcW w:w="946"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10</w:t>
            </w:r>
          </w:p>
        </w:tc>
        <w:tc>
          <w:tcPr>
            <w:tcW w:w="990"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11</w:t>
            </w:r>
          </w:p>
        </w:tc>
        <w:tc>
          <w:tcPr>
            <w:tcW w:w="796" w:type="dxa"/>
            <w:tcBorders>
              <w:top w:val="nil"/>
              <w:left w:val="nil"/>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12</w:t>
            </w:r>
          </w:p>
        </w:tc>
      </w:tr>
      <w:tr w:rsidR="000F23FB" w:rsidRPr="000F23FB" w:rsidTr="000F23FB">
        <w:trPr>
          <w:trHeight w:val="384"/>
        </w:trPr>
        <w:tc>
          <w:tcPr>
            <w:tcW w:w="857" w:type="dxa"/>
            <w:tcBorders>
              <w:top w:val="nil"/>
              <w:left w:val="single" w:sz="4" w:space="0" w:color="000000"/>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6.00</w:t>
            </w:r>
          </w:p>
        </w:tc>
        <w:tc>
          <w:tcPr>
            <w:tcW w:w="81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75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6.00</w:t>
            </w:r>
          </w:p>
        </w:tc>
        <w:tc>
          <w:tcPr>
            <w:tcW w:w="1166"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100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6.00</w:t>
            </w:r>
          </w:p>
        </w:tc>
        <w:tc>
          <w:tcPr>
            <w:tcW w:w="73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765"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6.00</w:t>
            </w:r>
          </w:p>
        </w:tc>
        <w:tc>
          <w:tcPr>
            <w:tcW w:w="96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704"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6.00</w:t>
            </w:r>
          </w:p>
        </w:tc>
        <w:tc>
          <w:tcPr>
            <w:tcW w:w="946"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c>
          <w:tcPr>
            <w:tcW w:w="990"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6.00</w:t>
            </w:r>
          </w:p>
        </w:tc>
        <w:tc>
          <w:tcPr>
            <w:tcW w:w="796" w:type="dxa"/>
            <w:tcBorders>
              <w:top w:val="nil"/>
              <w:left w:val="nil"/>
              <w:bottom w:val="single" w:sz="4" w:space="0" w:color="000000"/>
              <w:right w:val="single" w:sz="4" w:space="0" w:color="000000"/>
            </w:tcBorders>
            <w:vAlign w:val="center"/>
            <w:hideMark/>
          </w:tcPr>
          <w:p w:rsidR="000F23FB" w:rsidRPr="000F23FB" w:rsidRDefault="000F23FB" w:rsidP="000F23FB">
            <w:pPr>
              <w:widowControl/>
              <w:jc w:val="righ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0.00</w:t>
            </w:r>
          </w:p>
        </w:tc>
      </w:tr>
      <w:tr w:rsidR="000F23FB" w:rsidRPr="000F23FB" w:rsidTr="000F23FB">
        <w:trPr>
          <w:trHeight w:val="624"/>
        </w:trPr>
        <w:tc>
          <w:tcPr>
            <w:tcW w:w="10488" w:type="dxa"/>
            <w:gridSpan w:val="12"/>
            <w:tcBorders>
              <w:top w:val="nil"/>
              <w:left w:val="nil"/>
              <w:bottom w:val="nil"/>
              <w:right w:val="nil"/>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18"/>
                <w:szCs w:val="18"/>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rsidR="000F23FB" w:rsidRPr="000F23FB" w:rsidRDefault="000F23FB" w:rsidP="000F23FB">
      <w:pPr>
        <w:rPr>
          <w:rFonts w:ascii="宋体" w:eastAsia="宋体" w:hAnsi="宋体" w:cs="Times New Roman" w:hint="eastAsia"/>
          <w:szCs w:val="21"/>
        </w:rPr>
      </w:pPr>
      <w:r w:rsidRPr="000F23FB">
        <w:rPr>
          <w:rFonts w:ascii="宋体" w:eastAsia="宋体" w:hAnsi="宋体" w:cs="Times New Roman" w:hint="eastAsia"/>
          <w:szCs w:val="21"/>
        </w:rPr>
        <w:t xml:space="preserve"> </w:t>
      </w:r>
    </w:p>
    <w:tbl>
      <w:tblPr>
        <w:tblW w:w="0" w:type="auto"/>
        <w:tblInd w:w="135" w:type="dxa"/>
        <w:tblCellMar>
          <w:top w:w="15" w:type="dxa"/>
          <w:left w:w="15" w:type="dxa"/>
          <w:bottom w:w="15" w:type="dxa"/>
          <w:right w:w="15" w:type="dxa"/>
        </w:tblCellMar>
        <w:tblLook w:val="04A0" w:firstRow="1" w:lastRow="0" w:firstColumn="1" w:lastColumn="0" w:noHBand="0" w:noVBand="1"/>
      </w:tblPr>
      <w:tblGrid>
        <w:gridCol w:w="1122"/>
        <w:gridCol w:w="1198"/>
        <w:gridCol w:w="818"/>
        <w:gridCol w:w="757"/>
        <w:gridCol w:w="767"/>
        <w:gridCol w:w="899"/>
        <w:gridCol w:w="821"/>
        <w:gridCol w:w="877"/>
        <w:gridCol w:w="912"/>
      </w:tblGrid>
      <w:tr w:rsidR="000F23FB" w:rsidRPr="000F23FB" w:rsidTr="000F23FB">
        <w:trPr>
          <w:trHeight w:val="743"/>
        </w:trPr>
        <w:tc>
          <w:tcPr>
            <w:tcW w:w="10488" w:type="dxa"/>
            <w:gridSpan w:val="9"/>
            <w:tcBorders>
              <w:top w:val="nil"/>
              <w:left w:val="nil"/>
              <w:bottom w:val="nil"/>
              <w:right w:val="nil"/>
            </w:tcBorders>
            <w:vAlign w:val="bottom"/>
          </w:tcPr>
          <w:p w:rsidR="000F23FB" w:rsidRPr="000F23FB" w:rsidRDefault="000F23FB" w:rsidP="000F23FB">
            <w:pPr>
              <w:autoSpaceDE w:val="0"/>
              <w:spacing w:before="100" w:beforeAutospacing="1" w:after="100" w:afterAutospacing="1" w:line="560" w:lineRule="exact"/>
              <w:jc w:val="center"/>
              <w:rPr>
                <w:rFonts w:ascii="黑体" w:eastAsia="黑体" w:hAnsi="黑体" w:cs="Times New Roman" w:hint="eastAsia"/>
                <w:sz w:val="32"/>
                <w:szCs w:val="32"/>
              </w:rPr>
            </w:pPr>
            <w:bookmarkStart w:id="19" w:name="_Toc7688"/>
            <w:r w:rsidRPr="000F23FB">
              <w:rPr>
                <w:rFonts w:ascii="黑体" w:eastAsia="黑体" w:hAnsi="黑体" w:cs="Times New Roman" w:hint="eastAsia"/>
                <w:sz w:val="32"/>
                <w:szCs w:val="32"/>
              </w:rPr>
              <w:t>政府性基金预算财政拨款收入支出决算表</w:t>
            </w:r>
            <w:bookmarkEnd w:id="19"/>
          </w:p>
          <w:p w:rsidR="000F23FB" w:rsidRPr="000F23FB" w:rsidRDefault="000F23FB" w:rsidP="000F23FB">
            <w:pPr>
              <w:rPr>
                <w:rFonts w:ascii="Arial" w:eastAsia="宋体" w:hAnsi="Arial" w:cs="Arial" w:hint="eastAsia"/>
                <w:color w:val="000000"/>
                <w:sz w:val="20"/>
                <w:szCs w:val="20"/>
              </w:rPr>
            </w:pPr>
          </w:p>
        </w:tc>
      </w:tr>
      <w:tr w:rsidR="000F23FB" w:rsidRPr="000F23FB" w:rsidTr="000F23FB">
        <w:trPr>
          <w:trHeight w:val="336"/>
        </w:trPr>
        <w:tc>
          <w:tcPr>
            <w:tcW w:w="10488" w:type="dxa"/>
            <w:gridSpan w:val="9"/>
            <w:tcBorders>
              <w:top w:val="nil"/>
              <w:left w:val="nil"/>
              <w:bottom w:val="nil"/>
              <w:right w:val="nil"/>
            </w:tcBorders>
            <w:vAlign w:val="bottom"/>
            <w:hideMark/>
          </w:tcPr>
          <w:p w:rsidR="000F23FB" w:rsidRPr="000F23FB" w:rsidRDefault="000F23FB" w:rsidP="000F23FB">
            <w:pPr>
              <w:widowControl/>
              <w:jc w:val="right"/>
              <w:textAlignment w:val="bottom"/>
              <w:rPr>
                <w:rFonts w:ascii="宋体" w:eastAsia="宋体" w:hAnsi="宋体" w:cs="Times New Roman"/>
                <w:color w:val="000000"/>
                <w:sz w:val="20"/>
                <w:szCs w:val="20"/>
              </w:rPr>
            </w:pPr>
            <w:r w:rsidRPr="000F23FB">
              <w:rPr>
                <w:rFonts w:ascii="宋体" w:eastAsia="宋体" w:hAnsi="宋体" w:cs="Times New Roman" w:hint="eastAsia"/>
                <w:color w:val="000000"/>
                <w:kern w:val="0"/>
                <w:sz w:val="20"/>
                <w:szCs w:val="20"/>
              </w:rPr>
              <w:t>公开08表</w:t>
            </w:r>
          </w:p>
        </w:tc>
      </w:tr>
      <w:tr w:rsidR="000F23FB" w:rsidRPr="000F23FB" w:rsidTr="000F23FB">
        <w:trPr>
          <w:trHeight w:val="336"/>
        </w:trPr>
        <w:tc>
          <w:tcPr>
            <w:tcW w:w="3422" w:type="dxa"/>
            <w:gridSpan w:val="2"/>
            <w:tcBorders>
              <w:top w:val="nil"/>
              <w:left w:val="nil"/>
              <w:bottom w:val="nil"/>
              <w:right w:val="nil"/>
            </w:tcBorders>
            <w:vAlign w:val="bottom"/>
            <w:hideMark/>
          </w:tcPr>
          <w:p w:rsidR="000F23FB" w:rsidRPr="000F23FB" w:rsidRDefault="000F23FB" w:rsidP="000F23FB">
            <w:pPr>
              <w:rPr>
                <w:rFonts w:ascii="Arial" w:eastAsia="宋体" w:hAnsi="Arial" w:cs="Arial" w:hint="eastAsia"/>
                <w:color w:val="000000"/>
                <w:sz w:val="20"/>
                <w:szCs w:val="20"/>
              </w:rPr>
            </w:pPr>
            <w:r w:rsidRPr="000F23FB">
              <w:rPr>
                <w:rFonts w:ascii="宋体" w:eastAsia="宋体" w:hAnsi="宋体" w:cs="Times New Roman" w:hint="eastAsia"/>
                <w:color w:val="000000"/>
                <w:kern w:val="0"/>
                <w:sz w:val="20"/>
                <w:szCs w:val="20"/>
              </w:rPr>
              <w:t>部门：双鸭山市住房公积金管理中心</w:t>
            </w:r>
          </w:p>
        </w:tc>
        <w:tc>
          <w:tcPr>
            <w:tcW w:w="4601" w:type="dxa"/>
            <w:gridSpan w:val="4"/>
            <w:tcBorders>
              <w:top w:val="nil"/>
              <w:left w:val="nil"/>
              <w:bottom w:val="single" w:sz="4" w:space="0" w:color="auto"/>
              <w:right w:val="nil"/>
            </w:tcBorders>
            <w:vAlign w:val="bottom"/>
            <w:hideMark/>
          </w:tcPr>
          <w:p w:rsidR="000F23FB" w:rsidRPr="000F23FB" w:rsidRDefault="000F23FB" w:rsidP="000F23FB">
            <w:pPr>
              <w:rPr>
                <w:rFonts w:ascii="Arial" w:eastAsia="宋体" w:hAnsi="Arial" w:cs="Arial"/>
                <w:color w:val="000000"/>
                <w:sz w:val="20"/>
                <w:szCs w:val="20"/>
              </w:rPr>
            </w:pPr>
            <w:r w:rsidRPr="000F23FB">
              <w:rPr>
                <w:rFonts w:ascii="Arial" w:eastAsia="宋体" w:hAnsi="Arial" w:cs="Arial" w:hint="eastAsia"/>
                <w:color w:val="000000"/>
                <w:sz w:val="20"/>
                <w:szCs w:val="20"/>
              </w:rPr>
              <w:t>2018</w:t>
            </w:r>
            <w:r w:rsidRPr="000F23FB">
              <w:rPr>
                <w:rFonts w:ascii="宋体" w:eastAsia="宋体" w:hAnsi="宋体" w:cs="Arial" w:hint="eastAsia"/>
                <w:color w:val="000000"/>
                <w:sz w:val="20"/>
                <w:szCs w:val="20"/>
              </w:rPr>
              <w:t>年度</w:t>
            </w:r>
          </w:p>
        </w:tc>
        <w:tc>
          <w:tcPr>
            <w:tcW w:w="2465" w:type="dxa"/>
            <w:gridSpan w:val="2"/>
            <w:tcBorders>
              <w:top w:val="nil"/>
              <w:left w:val="nil"/>
              <w:bottom w:val="single" w:sz="4" w:space="0" w:color="auto"/>
              <w:right w:val="nil"/>
            </w:tcBorders>
            <w:vAlign w:val="bottom"/>
            <w:hideMark/>
          </w:tcPr>
          <w:p w:rsidR="000F23FB" w:rsidRPr="000F23FB" w:rsidRDefault="000F23FB" w:rsidP="000F23FB">
            <w:pPr>
              <w:widowControl/>
              <w:jc w:val="right"/>
              <w:textAlignment w:val="bottom"/>
              <w:rPr>
                <w:rFonts w:ascii="宋体" w:eastAsia="宋体" w:hAnsi="宋体" w:cs="Times New Roman" w:hint="eastAsia"/>
                <w:color w:val="000000"/>
                <w:sz w:val="20"/>
                <w:szCs w:val="20"/>
              </w:rPr>
            </w:pPr>
            <w:r w:rsidRPr="000F23FB">
              <w:rPr>
                <w:rFonts w:ascii="宋体" w:eastAsia="宋体" w:hAnsi="宋体" w:cs="Times New Roman" w:hint="eastAsia"/>
                <w:color w:val="000000"/>
                <w:kern w:val="0"/>
                <w:sz w:val="20"/>
                <w:szCs w:val="20"/>
              </w:rPr>
              <w:t>金额单位：万元</w:t>
            </w:r>
          </w:p>
        </w:tc>
        <w:tc>
          <w:tcPr>
            <w:tcW w:w="0" w:type="auto"/>
            <w:vAlign w:val="center"/>
            <w:hideMark/>
          </w:tcPr>
          <w:p w:rsidR="000F23FB" w:rsidRPr="000F23FB" w:rsidRDefault="000F23FB" w:rsidP="000F23FB">
            <w:pPr>
              <w:widowControl/>
              <w:jc w:val="left"/>
              <w:rPr>
                <w:rFonts w:ascii="Times New Roman" w:eastAsia="Times New Roman" w:hAnsi="Times New Roman" w:cs="Times New Roman"/>
                <w:kern w:val="0"/>
                <w:sz w:val="20"/>
                <w:szCs w:val="20"/>
              </w:rPr>
            </w:pPr>
          </w:p>
        </w:tc>
      </w:tr>
      <w:tr w:rsidR="000F23FB" w:rsidRPr="000F23FB" w:rsidTr="000F23FB">
        <w:trPr>
          <w:trHeight w:val="626"/>
        </w:trPr>
        <w:tc>
          <w:tcPr>
            <w:tcW w:w="3422" w:type="dxa"/>
            <w:gridSpan w:val="2"/>
            <w:tcBorders>
              <w:top w:val="single" w:sz="4" w:space="0" w:color="000000"/>
              <w:left w:val="single" w:sz="4" w:space="0" w:color="000000"/>
              <w:bottom w:val="single" w:sz="4" w:space="0" w:color="000000"/>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项目</w:t>
            </w:r>
          </w:p>
        </w:tc>
        <w:tc>
          <w:tcPr>
            <w:tcW w:w="1163" w:type="dxa"/>
            <w:vMerge w:val="restart"/>
            <w:tcBorders>
              <w:top w:val="nil"/>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kern w:val="0"/>
                <w:sz w:val="22"/>
              </w:rPr>
            </w:pPr>
            <w:r w:rsidRPr="000F23FB">
              <w:rPr>
                <w:rFonts w:ascii="宋体" w:eastAsia="宋体" w:hAnsi="宋体" w:cs="Times New Roman" w:hint="eastAsia"/>
                <w:color w:val="000000"/>
                <w:kern w:val="0"/>
                <w:sz w:val="22"/>
              </w:rPr>
              <w:t>年初</w:t>
            </w:r>
          </w:p>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结转和结余</w:t>
            </w:r>
          </w:p>
        </w:tc>
        <w:tc>
          <w:tcPr>
            <w:tcW w:w="1065" w:type="dxa"/>
            <w:vMerge w:val="restart"/>
            <w:tcBorders>
              <w:top w:val="nil"/>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本年收入</w:t>
            </w:r>
          </w:p>
        </w:tc>
        <w:tc>
          <w:tcPr>
            <w:tcW w:w="3524" w:type="dxa"/>
            <w:gridSpan w:val="4"/>
            <w:tcBorders>
              <w:top w:val="single" w:sz="4" w:space="0" w:color="auto"/>
              <w:left w:val="nil"/>
              <w:bottom w:val="nil"/>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本年支出</w:t>
            </w:r>
          </w:p>
        </w:tc>
        <w:tc>
          <w:tcPr>
            <w:tcW w:w="1314" w:type="dxa"/>
            <w:vMerge w:val="restart"/>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kern w:val="0"/>
                <w:sz w:val="22"/>
              </w:rPr>
            </w:pPr>
            <w:r w:rsidRPr="000F23FB">
              <w:rPr>
                <w:rFonts w:ascii="宋体" w:eastAsia="宋体" w:hAnsi="宋体" w:cs="Times New Roman" w:hint="eastAsia"/>
                <w:color w:val="000000"/>
                <w:kern w:val="0"/>
                <w:sz w:val="22"/>
              </w:rPr>
              <w:t>年末</w:t>
            </w:r>
          </w:p>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结转和结余</w:t>
            </w:r>
          </w:p>
        </w:tc>
      </w:tr>
      <w:tr w:rsidR="000F23FB" w:rsidRPr="000F23FB" w:rsidTr="000F23FB">
        <w:trPr>
          <w:trHeight w:val="368"/>
        </w:trPr>
        <w:tc>
          <w:tcPr>
            <w:tcW w:w="1649" w:type="dxa"/>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kern w:val="0"/>
                <w:sz w:val="22"/>
              </w:rPr>
            </w:pPr>
            <w:r w:rsidRPr="000F23FB">
              <w:rPr>
                <w:rFonts w:ascii="宋体" w:eastAsia="宋体" w:hAnsi="宋体" w:cs="Times New Roman" w:hint="eastAsia"/>
                <w:color w:val="000000"/>
                <w:kern w:val="0"/>
                <w:sz w:val="22"/>
              </w:rPr>
              <w:t>功能分类</w:t>
            </w:r>
          </w:p>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科目编码</w:t>
            </w:r>
          </w:p>
        </w:tc>
        <w:tc>
          <w:tcPr>
            <w:tcW w:w="1773" w:type="dxa"/>
            <w:tcBorders>
              <w:top w:val="nil"/>
              <w:left w:val="nil"/>
              <w:bottom w:val="single" w:sz="4" w:space="0" w:color="000000"/>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科目名称</w:t>
            </w:r>
          </w:p>
        </w:tc>
        <w:tc>
          <w:tcPr>
            <w:tcW w:w="0" w:type="auto"/>
            <w:vMerge/>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0" w:type="auto"/>
            <w:vMerge/>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sz w:val="22"/>
              </w:rPr>
            </w:pPr>
          </w:p>
        </w:tc>
        <w:tc>
          <w:tcPr>
            <w:tcW w:w="1080" w:type="dxa"/>
            <w:tcBorders>
              <w:top w:val="single" w:sz="4" w:space="0" w:color="auto"/>
              <w:left w:val="nil"/>
              <w:bottom w:val="single" w:sz="4" w:space="0" w:color="auto"/>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小计</w:t>
            </w:r>
          </w:p>
        </w:tc>
        <w:tc>
          <w:tcPr>
            <w:tcW w:w="1292" w:type="dxa"/>
            <w:tcBorders>
              <w:top w:val="single" w:sz="4" w:space="0" w:color="auto"/>
              <w:left w:val="nil"/>
              <w:bottom w:val="single" w:sz="4" w:space="0" w:color="auto"/>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基本支出</w:t>
            </w:r>
          </w:p>
        </w:tc>
        <w:tc>
          <w:tcPr>
            <w:tcW w:w="1152" w:type="dxa"/>
            <w:tcBorders>
              <w:top w:val="single" w:sz="4" w:space="0" w:color="auto"/>
              <w:left w:val="nil"/>
              <w:bottom w:val="single" w:sz="4" w:space="0" w:color="auto"/>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项目支出</w:t>
            </w:r>
          </w:p>
        </w:tc>
        <w:tc>
          <w:tcPr>
            <w:tcW w:w="0" w:type="auto"/>
            <w:vAlign w:val="center"/>
            <w:hideMark/>
          </w:tcPr>
          <w:p w:rsidR="000F23FB" w:rsidRPr="000F23FB" w:rsidRDefault="000F23FB" w:rsidP="000F23FB">
            <w:pPr>
              <w:widowControl/>
              <w:jc w:val="left"/>
              <w:rPr>
                <w:rFonts w:ascii="Times New Roman" w:eastAsia="Times New Roman" w:hAnsi="Times New Roman" w:cs="Times New Roman"/>
                <w:kern w:val="0"/>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sz w:val="22"/>
              </w:rPr>
            </w:pPr>
          </w:p>
        </w:tc>
      </w:tr>
      <w:tr w:rsidR="000F23FB" w:rsidRPr="000F23FB" w:rsidTr="000F23FB">
        <w:trPr>
          <w:trHeight w:val="336"/>
        </w:trPr>
        <w:tc>
          <w:tcPr>
            <w:tcW w:w="3422" w:type="dxa"/>
            <w:gridSpan w:val="2"/>
            <w:tcBorders>
              <w:top w:val="nil"/>
              <w:left w:val="single" w:sz="4" w:space="0" w:color="000000"/>
              <w:bottom w:val="single" w:sz="4" w:space="0" w:color="000000"/>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栏次</w:t>
            </w:r>
          </w:p>
        </w:tc>
        <w:tc>
          <w:tcPr>
            <w:tcW w:w="1163" w:type="dxa"/>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1</w:t>
            </w:r>
          </w:p>
        </w:tc>
        <w:tc>
          <w:tcPr>
            <w:tcW w:w="1065" w:type="dxa"/>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2</w:t>
            </w:r>
          </w:p>
        </w:tc>
        <w:tc>
          <w:tcPr>
            <w:tcW w:w="1080" w:type="dxa"/>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3</w:t>
            </w:r>
          </w:p>
        </w:tc>
        <w:tc>
          <w:tcPr>
            <w:tcW w:w="1292" w:type="dxa"/>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4</w:t>
            </w:r>
          </w:p>
        </w:tc>
        <w:tc>
          <w:tcPr>
            <w:tcW w:w="1152" w:type="dxa"/>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5</w:t>
            </w:r>
          </w:p>
        </w:tc>
        <w:tc>
          <w:tcPr>
            <w:tcW w:w="1314" w:type="dxa"/>
            <w:tcBorders>
              <w:top w:val="single" w:sz="4" w:space="0" w:color="auto"/>
              <w:left w:val="nil"/>
              <w:bottom w:val="single" w:sz="4" w:space="0" w:color="auto"/>
              <w:right w:val="single" w:sz="4" w:space="0" w:color="auto"/>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6</w:t>
            </w:r>
          </w:p>
        </w:tc>
        <w:tc>
          <w:tcPr>
            <w:tcW w:w="0" w:type="auto"/>
            <w:vAlign w:val="center"/>
            <w:hideMark/>
          </w:tcPr>
          <w:p w:rsidR="000F23FB" w:rsidRPr="000F23FB" w:rsidRDefault="000F23FB" w:rsidP="000F23FB">
            <w:pPr>
              <w:widowControl/>
              <w:jc w:val="left"/>
              <w:rPr>
                <w:rFonts w:ascii="Times New Roman" w:eastAsia="Times New Roman" w:hAnsi="Times New Roman" w:cs="Times New Roman"/>
                <w:kern w:val="0"/>
                <w:sz w:val="20"/>
                <w:szCs w:val="20"/>
              </w:rPr>
            </w:pPr>
          </w:p>
        </w:tc>
      </w:tr>
      <w:tr w:rsidR="000F23FB" w:rsidRPr="000F23FB" w:rsidTr="000F23FB">
        <w:trPr>
          <w:trHeight w:val="336"/>
        </w:trPr>
        <w:tc>
          <w:tcPr>
            <w:tcW w:w="3422" w:type="dxa"/>
            <w:gridSpan w:val="2"/>
            <w:tcBorders>
              <w:top w:val="nil"/>
              <w:left w:val="single" w:sz="4" w:space="0" w:color="000000"/>
              <w:bottom w:val="single" w:sz="4" w:space="0" w:color="000000"/>
              <w:right w:val="single" w:sz="4" w:space="0" w:color="000000"/>
            </w:tcBorders>
            <w:shd w:val="clear" w:color="auto" w:fill="C0C0C0"/>
            <w:vAlign w:val="center"/>
            <w:hideMark/>
          </w:tcPr>
          <w:p w:rsidR="000F23FB" w:rsidRPr="000F23FB" w:rsidRDefault="000F23FB" w:rsidP="000F23FB">
            <w:pPr>
              <w:widowControl/>
              <w:jc w:val="center"/>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22"/>
              </w:rPr>
              <w:t>合计</w:t>
            </w:r>
          </w:p>
        </w:tc>
        <w:tc>
          <w:tcPr>
            <w:tcW w:w="1163" w:type="dxa"/>
            <w:tcBorders>
              <w:top w:val="single" w:sz="4" w:space="0" w:color="auto"/>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b/>
                <w:bCs/>
                <w:color w:val="000000"/>
                <w:sz w:val="22"/>
              </w:rPr>
            </w:pPr>
          </w:p>
        </w:tc>
        <w:tc>
          <w:tcPr>
            <w:tcW w:w="1065" w:type="dxa"/>
            <w:tcBorders>
              <w:top w:val="single" w:sz="4" w:space="0" w:color="auto"/>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b/>
                <w:bCs/>
                <w:color w:val="000000"/>
                <w:sz w:val="22"/>
              </w:rPr>
            </w:pPr>
          </w:p>
        </w:tc>
        <w:tc>
          <w:tcPr>
            <w:tcW w:w="1080" w:type="dxa"/>
            <w:tcBorders>
              <w:top w:val="single" w:sz="4" w:space="0" w:color="auto"/>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b/>
                <w:bCs/>
                <w:color w:val="000000"/>
                <w:sz w:val="22"/>
              </w:rPr>
            </w:pPr>
          </w:p>
        </w:tc>
        <w:tc>
          <w:tcPr>
            <w:tcW w:w="1292" w:type="dxa"/>
            <w:tcBorders>
              <w:top w:val="single" w:sz="4" w:space="0" w:color="auto"/>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b/>
                <w:bCs/>
                <w:color w:val="000000"/>
                <w:sz w:val="22"/>
              </w:rPr>
            </w:pPr>
          </w:p>
        </w:tc>
        <w:tc>
          <w:tcPr>
            <w:tcW w:w="1152" w:type="dxa"/>
            <w:tcBorders>
              <w:top w:val="single" w:sz="4" w:space="0" w:color="auto"/>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b/>
                <w:bCs/>
                <w:color w:val="000000"/>
                <w:sz w:val="22"/>
              </w:rPr>
            </w:pPr>
          </w:p>
        </w:tc>
        <w:tc>
          <w:tcPr>
            <w:tcW w:w="1314" w:type="dxa"/>
            <w:tcBorders>
              <w:top w:val="single" w:sz="4" w:space="0" w:color="auto"/>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b/>
                <w:bCs/>
                <w:color w:val="000000"/>
                <w:sz w:val="22"/>
              </w:rPr>
            </w:pPr>
          </w:p>
        </w:tc>
        <w:tc>
          <w:tcPr>
            <w:tcW w:w="0" w:type="auto"/>
            <w:vAlign w:val="center"/>
            <w:hideMark/>
          </w:tcPr>
          <w:p w:rsidR="000F23FB" w:rsidRPr="000F23FB" w:rsidRDefault="000F23FB" w:rsidP="000F23FB">
            <w:pPr>
              <w:widowControl/>
              <w:jc w:val="left"/>
              <w:rPr>
                <w:rFonts w:ascii="Times New Roman" w:eastAsia="Times New Roman" w:hAnsi="Times New Roman" w:cs="Times New Roman"/>
                <w:kern w:val="0"/>
                <w:sz w:val="20"/>
                <w:szCs w:val="20"/>
              </w:rPr>
            </w:pPr>
          </w:p>
        </w:tc>
      </w:tr>
      <w:tr w:rsidR="000F23FB" w:rsidRPr="000F23FB" w:rsidTr="000F23FB">
        <w:trPr>
          <w:trHeight w:val="336"/>
        </w:trPr>
        <w:tc>
          <w:tcPr>
            <w:tcW w:w="1649"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773"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1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6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8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2"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52"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14"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0" w:type="auto"/>
            <w:vAlign w:val="center"/>
            <w:hideMark/>
          </w:tcPr>
          <w:p w:rsidR="000F23FB" w:rsidRPr="000F23FB" w:rsidRDefault="000F23FB" w:rsidP="000F23FB">
            <w:pPr>
              <w:widowControl/>
              <w:jc w:val="left"/>
              <w:rPr>
                <w:rFonts w:ascii="Times New Roman" w:eastAsia="Times New Roman" w:hAnsi="Times New Roman" w:cs="Times New Roman"/>
                <w:kern w:val="0"/>
                <w:sz w:val="20"/>
                <w:szCs w:val="20"/>
              </w:rPr>
            </w:pPr>
          </w:p>
        </w:tc>
      </w:tr>
      <w:tr w:rsidR="000F23FB" w:rsidRPr="000F23FB" w:rsidTr="000F23FB">
        <w:trPr>
          <w:trHeight w:val="336"/>
        </w:trPr>
        <w:tc>
          <w:tcPr>
            <w:tcW w:w="1649"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773"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1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6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8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2"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52"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14"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0" w:type="auto"/>
            <w:vAlign w:val="center"/>
            <w:hideMark/>
          </w:tcPr>
          <w:p w:rsidR="000F23FB" w:rsidRPr="000F23FB" w:rsidRDefault="000F23FB" w:rsidP="000F23FB">
            <w:pPr>
              <w:widowControl/>
              <w:jc w:val="left"/>
              <w:rPr>
                <w:rFonts w:ascii="Times New Roman" w:eastAsia="Times New Roman" w:hAnsi="Times New Roman" w:cs="Times New Roman"/>
                <w:kern w:val="0"/>
                <w:sz w:val="20"/>
                <w:szCs w:val="20"/>
              </w:rPr>
            </w:pPr>
          </w:p>
        </w:tc>
      </w:tr>
      <w:tr w:rsidR="000F23FB" w:rsidRPr="000F23FB" w:rsidTr="000F23FB">
        <w:trPr>
          <w:trHeight w:val="336"/>
        </w:trPr>
        <w:tc>
          <w:tcPr>
            <w:tcW w:w="1649"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773"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1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6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8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2"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52"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14"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0" w:type="auto"/>
            <w:vAlign w:val="center"/>
            <w:hideMark/>
          </w:tcPr>
          <w:p w:rsidR="000F23FB" w:rsidRPr="000F23FB" w:rsidRDefault="000F23FB" w:rsidP="000F23FB">
            <w:pPr>
              <w:widowControl/>
              <w:jc w:val="left"/>
              <w:rPr>
                <w:rFonts w:ascii="Times New Roman" w:eastAsia="Times New Roman" w:hAnsi="Times New Roman" w:cs="Times New Roman"/>
                <w:kern w:val="0"/>
                <w:sz w:val="20"/>
                <w:szCs w:val="20"/>
              </w:rPr>
            </w:pPr>
          </w:p>
        </w:tc>
      </w:tr>
      <w:tr w:rsidR="000F23FB" w:rsidRPr="000F23FB" w:rsidTr="000F23FB">
        <w:trPr>
          <w:trHeight w:val="336"/>
        </w:trPr>
        <w:tc>
          <w:tcPr>
            <w:tcW w:w="1649"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773"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1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6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8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2"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52"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14"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0" w:type="auto"/>
            <w:vAlign w:val="center"/>
            <w:hideMark/>
          </w:tcPr>
          <w:p w:rsidR="000F23FB" w:rsidRPr="000F23FB" w:rsidRDefault="000F23FB" w:rsidP="000F23FB">
            <w:pPr>
              <w:widowControl/>
              <w:jc w:val="left"/>
              <w:rPr>
                <w:rFonts w:ascii="Times New Roman" w:eastAsia="Times New Roman" w:hAnsi="Times New Roman" w:cs="Times New Roman"/>
                <w:kern w:val="0"/>
                <w:sz w:val="20"/>
                <w:szCs w:val="20"/>
              </w:rPr>
            </w:pPr>
          </w:p>
        </w:tc>
      </w:tr>
      <w:tr w:rsidR="000F23FB" w:rsidRPr="000F23FB" w:rsidTr="000F23FB">
        <w:trPr>
          <w:trHeight w:val="336"/>
        </w:trPr>
        <w:tc>
          <w:tcPr>
            <w:tcW w:w="1649"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773"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1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6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8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2"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52"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14"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0" w:type="auto"/>
            <w:vAlign w:val="center"/>
            <w:hideMark/>
          </w:tcPr>
          <w:p w:rsidR="000F23FB" w:rsidRPr="000F23FB" w:rsidRDefault="000F23FB" w:rsidP="000F23FB">
            <w:pPr>
              <w:widowControl/>
              <w:jc w:val="left"/>
              <w:rPr>
                <w:rFonts w:ascii="Times New Roman" w:eastAsia="Times New Roman" w:hAnsi="Times New Roman" w:cs="Times New Roman"/>
                <w:kern w:val="0"/>
                <w:sz w:val="20"/>
                <w:szCs w:val="20"/>
              </w:rPr>
            </w:pPr>
          </w:p>
        </w:tc>
      </w:tr>
      <w:tr w:rsidR="000F23FB" w:rsidRPr="000F23FB" w:rsidTr="000F23FB">
        <w:trPr>
          <w:trHeight w:val="336"/>
        </w:trPr>
        <w:tc>
          <w:tcPr>
            <w:tcW w:w="1649" w:type="dxa"/>
            <w:tcBorders>
              <w:top w:val="nil"/>
              <w:left w:val="single" w:sz="4" w:space="0" w:color="000000"/>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773" w:type="dxa"/>
            <w:tcBorders>
              <w:top w:val="nil"/>
              <w:left w:val="nil"/>
              <w:bottom w:val="single" w:sz="4" w:space="0" w:color="000000"/>
              <w:right w:val="single" w:sz="4" w:space="0" w:color="000000"/>
            </w:tcBorders>
            <w:vAlign w:val="center"/>
          </w:tcPr>
          <w:p w:rsidR="000F23FB" w:rsidRPr="000F23FB" w:rsidRDefault="000F23FB" w:rsidP="000F23FB">
            <w:pPr>
              <w:jc w:val="left"/>
              <w:rPr>
                <w:rFonts w:ascii="宋体" w:eastAsia="宋体" w:hAnsi="宋体" w:cs="Times New Roman" w:hint="eastAsia"/>
                <w:color w:val="000000"/>
                <w:sz w:val="22"/>
              </w:rPr>
            </w:pPr>
          </w:p>
        </w:tc>
        <w:tc>
          <w:tcPr>
            <w:tcW w:w="1163"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65"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080"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292"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152"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1314" w:type="dxa"/>
            <w:tcBorders>
              <w:top w:val="nil"/>
              <w:left w:val="nil"/>
              <w:bottom w:val="single" w:sz="4" w:space="0" w:color="000000"/>
              <w:right w:val="single" w:sz="4" w:space="0" w:color="000000"/>
            </w:tcBorders>
            <w:vAlign w:val="center"/>
          </w:tcPr>
          <w:p w:rsidR="000F23FB" w:rsidRPr="000F23FB" w:rsidRDefault="000F23FB" w:rsidP="000F23FB">
            <w:pPr>
              <w:jc w:val="right"/>
              <w:rPr>
                <w:rFonts w:ascii="宋体" w:eastAsia="宋体" w:hAnsi="宋体" w:cs="Times New Roman" w:hint="eastAsia"/>
                <w:color w:val="000000"/>
                <w:sz w:val="22"/>
              </w:rPr>
            </w:pPr>
          </w:p>
        </w:tc>
        <w:tc>
          <w:tcPr>
            <w:tcW w:w="0" w:type="auto"/>
            <w:vAlign w:val="center"/>
            <w:hideMark/>
          </w:tcPr>
          <w:p w:rsidR="000F23FB" w:rsidRPr="000F23FB" w:rsidRDefault="000F23FB" w:rsidP="000F23FB">
            <w:pPr>
              <w:widowControl/>
              <w:jc w:val="left"/>
              <w:rPr>
                <w:rFonts w:ascii="Times New Roman" w:eastAsia="Times New Roman" w:hAnsi="Times New Roman" w:cs="Times New Roman"/>
                <w:kern w:val="0"/>
                <w:sz w:val="20"/>
                <w:szCs w:val="20"/>
              </w:rPr>
            </w:pPr>
          </w:p>
        </w:tc>
      </w:tr>
      <w:tr w:rsidR="000F23FB" w:rsidRPr="000F23FB" w:rsidTr="000F23FB">
        <w:trPr>
          <w:trHeight w:val="336"/>
        </w:trPr>
        <w:tc>
          <w:tcPr>
            <w:tcW w:w="10488" w:type="dxa"/>
            <w:gridSpan w:val="9"/>
            <w:tcBorders>
              <w:top w:val="nil"/>
              <w:left w:val="nil"/>
              <w:bottom w:val="nil"/>
              <w:right w:val="nil"/>
            </w:tcBorders>
            <w:vAlign w:val="center"/>
            <w:hideMark/>
          </w:tcPr>
          <w:p w:rsidR="000F23FB" w:rsidRPr="000F23FB" w:rsidRDefault="000F23FB" w:rsidP="000F23FB">
            <w:pPr>
              <w:widowControl/>
              <w:jc w:val="left"/>
              <w:textAlignment w:val="center"/>
              <w:rPr>
                <w:rFonts w:ascii="宋体" w:eastAsia="宋体" w:hAnsi="宋体" w:cs="Times New Roman" w:hint="eastAsia"/>
                <w:color w:val="000000"/>
                <w:sz w:val="22"/>
              </w:rPr>
            </w:pPr>
            <w:r w:rsidRPr="000F23FB">
              <w:rPr>
                <w:rFonts w:ascii="宋体" w:eastAsia="宋体" w:hAnsi="宋体" w:cs="Times New Roman" w:hint="eastAsia"/>
                <w:color w:val="000000"/>
                <w:kern w:val="0"/>
                <w:sz w:val="18"/>
                <w:szCs w:val="18"/>
              </w:rPr>
              <w:t>注：本表反映部门本年度政府性基金预算财政拨款收入、支出及结转和结余情况。本表金额转换为万元时，因四舍五入可能存在尾差。</w:t>
            </w:r>
          </w:p>
        </w:tc>
      </w:tr>
      <w:tr w:rsidR="000F23FB" w:rsidRPr="000F23FB" w:rsidTr="000F23FB">
        <w:trPr>
          <w:trHeight w:val="336"/>
        </w:trPr>
        <w:tc>
          <w:tcPr>
            <w:tcW w:w="10488" w:type="dxa"/>
            <w:gridSpan w:val="9"/>
            <w:tcBorders>
              <w:top w:val="nil"/>
              <w:left w:val="nil"/>
              <w:bottom w:val="nil"/>
              <w:right w:val="nil"/>
            </w:tcBorders>
            <w:vAlign w:val="center"/>
          </w:tcPr>
          <w:p w:rsidR="000F23FB" w:rsidRPr="000F23FB" w:rsidRDefault="000F23FB" w:rsidP="000F23FB">
            <w:pPr>
              <w:widowControl/>
              <w:jc w:val="left"/>
              <w:textAlignment w:val="center"/>
              <w:rPr>
                <w:rFonts w:ascii="宋体" w:eastAsia="宋体" w:hAnsi="宋体" w:cs="Times New Roman" w:hint="eastAsia"/>
                <w:color w:val="000000"/>
                <w:kern w:val="0"/>
                <w:sz w:val="18"/>
                <w:szCs w:val="18"/>
              </w:rPr>
            </w:pPr>
          </w:p>
        </w:tc>
      </w:tr>
    </w:tbl>
    <w:p w:rsidR="000F23FB" w:rsidRPr="000F23FB" w:rsidRDefault="000F23FB" w:rsidP="000F23FB">
      <w:pPr>
        <w:widowControl/>
        <w:jc w:val="left"/>
        <w:textAlignment w:val="center"/>
        <w:rPr>
          <w:rFonts w:ascii="宋体" w:eastAsia="宋体" w:hAnsi="宋体" w:cs="Times New Roman" w:hint="eastAsia"/>
          <w:b/>
          <w:bCs/>
          <w:color w:val="000000"/>
          <w:kern w:val="0"/>
          <w:sz w:val="20"/>
          <w:szCs w:val="20"/>
        </w:rPr>
      </w:pPr>
      <w:r w:rsidRPr="000F23FB">
        <w:rPr>
          <w:rFonts w:ascii="宋体" w:eastAsia="宋体" w:hAnsi="宋体" w:cs="Times New Roman" w:hint="eastAsia"/>
          <w:b/>
          <w:bCs/>
          <w:color w:val="000000"/>
          <w:kern w:val="0"/>
          <w:sz w:val="20"/>
          <w:szCs w:val="20"/>
        </w:rPr>
        <w:t>双鸭山市住房公积金管理中心2018年度没有政府性基金收入，也没有使用政府性基金安排的支出，故本表无数据。</w:t>
      </w:r>
    </w:p>
    <w:p w:rsidR="000F23FB" w:rsidRPr="000F23FB" w:rsidRDefault="000F23FB" w:rsidP="000F23FB">
      <w:pPr>
        <w:rPr>
          <w:rFonts w:ascii="黑体" w:eastAsia="黑体" w:hAnsi="黑体" w:cs="Times New Roman" w:hint="eastAsia"/>
          <w:sz w:val="32"/>
          <w:szCs w:val="32"/>
        </w:rPr>
      </w:pPr>
      <w:r w:rsidRPr="000F23FB">
        <w:rPr>
          <w:rFonts w:ascii="黑体" w:eastAsia="黑体" w:hAnsi="黑体" w:cs="Times New Roman" w:hint="eastAsia"/>
          <w:sz w:val="32"/>
          <w:szCs w:val="32"/>
        </w:rPr>
        <w:t xml:space="preserve"> </w:t>
      </w:r>
    </w:p>
    <w:p w:rsidR="000F23FB" w:rsidRPr="000F23FB" w:rsidRDefault="000F23FB" w:rsidP="000F23FB">
      <w:pPr>
        <w:keepNext/>
        <w:autoSpaceDE w:val="0"/>
        <w:spacing w:line="560" w:lineRule="exact"/>
        <w:jc w:val="center"/>
        <w:outlineLvl w:val="0"/>
        <w:rPr>
          <w:rFonts w:ascii="宋体" w:eastAsia="宋体" w:hAnsi="宋体" w:cs="Times New Roman" w:hint="eastAsia"/>
          <w:b/>
          <w:bCs/>
          <w:kern w:val="44"/>
          <w:sz w:val="44"/>
          <w:szCs w:val="44"/>
        </w:rPr>
      </w:pPr>
      <w:bookmarkStart w:id="20" w:name="_Toc1839_WPSOffice_Level1"/>
      <w:bookmarkStart w:id="21" w:name="_Toc25203"/>
      <w:bookmarkEnd w:id="20"/>
      <w:r w:rsidRPr="000F23FB">
        <w:rPr>
          <w:rFonts w:ascii="宋体" w:eastAsia="宋体" w:hAnsi="宋体" w:cs="Times New Roman" w:hint="eastAsia"/>
          <w:b/>
          <w:bCs/>
          <w:kern w:val="44"/>
          <w:sz w:val="44"/>
          <w:szCs w:val="44"/>
        </w:rPr>
        <w:t>第三部分</w:t>
      </w:r>
      <w:bookmarkEnd w:id="21"/>
      <w:r w:rsidRPr="000F23FB">
        <w:rPr>
          <w:rFonts w:ascii="宋体" w:eastAsia="宋体" w:hAnsi="宋体" w:cs="Times New Roman" w:hint="eastAsia"/>
          <w:b/>
          <w:bCs/>
          <w:kern w:val="44"/>
          <w:sz w:val="44"/>
          <w:szCs w:val="44"/>
        </w:rPr>
        <w:t>2018年度部门决算情况说明</w:t>
      </w:r>
    </w:p>
    <w:p w:rsidR="000F23FB" w:rsidRPr="000F23FB" w:rsidRDefault="000F23FB" w:rsidP="000F23FB">
      <w:pPr>
        <w:keepNext/>
        <w:autoSpaceDE w:val="0"/>
        <w:spacing w:line="560" w:lineRule="exact"/>
        <w:outlineLvl w:val="1"/>
        <w:rPr>
          <w:rFonts w:ascii="黑体" w:eastAsia="黑体" w:hAnsi="黑体" w:cs="Arial" w:hint="eastAsia"/>
          <w:sz w:val="32"/>
          <w:szCs w:val="32"/>
        </w:rPr>
      </w:pPr>
      <w:bookmarkStart w:id="22" w:name="_Toc8349"/>
      <w:bookmarkEnd w:id="22"/>
      <w:r w:rsidRPr="000F23FB">
        <w:rPr>
          <w:rFonts w:ascii="黑体" w:eastAsia="黑体" w:hAnsi="黑体" w:cs="Arial" w:hint="eastAsia"/>
          <w:sz w:val="32"/>
          <w:szCs w:val="32"/>
        </w:rPr>
        <w:t>一、收入支出总体情况说明</w:t>
      </w:r>
    </w:p>
    <w:p w:rsidR="000F23FB" w:rsidRPr="000F23FB" w:rsidRDefault="000F23FB" w:rsidP="000F23FB">
      <w:pPr>
        <w:autoSpaceDE w:val="0"/>
        <w:spacing w:line="560" w:lineRule="exact"/>
        <w:rPr>
          <w:rFonts w:ascii="仿宋" w:eastAsia="仿宋" w:hAnsi="仿宋" w:cs="宋体" w:hint="eastAsia"/>
          <w:color w:val="000000"/>
          <w:kern w:val="0"/>
          <w:sz w:val="32"/>
          <w:szCs w:val="32"/>
        </w:rPr>
      </w:pPr>
      <w:r w:rsidRPr="000F23FB">
        <w:rPr>
          <w:rFonts w:ascii="仿宋_GB2312" w:eastAsia="宋体" w:hAnsi="仿宋_GB2312" w:cs="Times New Roman"/>
          <w:sz w:val="32"/>
          <w:szCs w:val="32"/>
        </w:rPr>
        <w:t>双鸭山市住房公积金管理中心</w:t>
      </w:r>
      <w:r w:rsidRPr="000F23FB">
        <w:rPr>
          <w:rFonts w:ascii="仿宋_GB2312" w:eastAsia="宋体" w:hAnsi="仿宋_GB2312" w:cs="Times New Roman"/>
          <w:sz w:val="32"/>
          <w:szCs w:val="32"/>
        </w:rPr>
        <w:t>2018</w:t>
      </w:r>
      <w:r w:rsidRPr="000F23FB">
        <w:rPr>
          <w:rFonts w:ascii="仿宋_GB2312" w:eastAsia="宋体" w:hAnsi="仿宋_GB2312" w:cs="Times New Roman"/>
          <w:sz w:val="32"/>
          <w:szCs w:val="32"/>
        </w:rPr>
        <w:t>年度部门决算收、支总</w:t>
      </w:r>
      <w:r w:rsidRPr="000F23FB">
        <w:rPr>
          <w:rFonts w:ascii="仿宋_GB2312" w:eastAsia="宋体" w:hAnsi="仿宋_GB2312" w:cs="Times New Roman"/>
          <w:sz w:val="32"/>
          <w:szCs w:val="32"/>
        </w:rPr>
        <w:lastRenderedPageBreak/>
        <w:t>计</w:t>
      </w:r>
      <w:r w:rsidRPr="000F23FB">
        <w:rPr>
          <w:rFonts w:ascii="仿宋_GB2312" w:eastAsia="宋体" w:hAnsi="仿宋_GB2312" w:cs="Times New Roman"/>
          <w:sz w:val="32"/>
          <w:szCs w:val="32"/>
        </w:rPr>
        <w:t xml:space="preserve"> 1628.58</w:t>
      </w:r>
      <w:r w:rsidRPr="000F23FB">
        <w:rPr>
          <w:rFonts w:ascii="仿宋_GB2312" w:eastAsia="宋体" w:hAnsi="仿宋_GB2312" w:cs="Times New Roman"/>
          <w:sz w:val="32"/>
          <w:szCs w:val="32"/>
        </w:rPr>
        <w:t>万元，其中：本年收入</w:t>
      </w:r>
      <w:r w:rsidRPr="000F23FB">
        <w:rPr>
          <w:rFonts w:ascii="仿宋_GB2312" w:eastAsia="宋体" w:hAnsi="仿宋_GB2312" w:cs="Times New Roman"/>
          <w:sz w:val="32"/>
          <w:szCs w:val="32"/>
        </w:rPr>
        <w:t xml:space="preserve"> 821.5</w:t>
      </w:r>
      <w:r w:rsidRPr="000F23FB">
        <w:rPr>
          <w:rFonts w:ascii="仿宋_GB2312" w:eastAsia="宋体" w:hAnsi="仿宋_GB2312" w:cs="Times New Roman"/>
          <w:sz w:val="32"/>
          <w:szCs w:val="32"/>
        </w:rPr>
        <w:t>万元，用事业基金弥补收支差额</w:t>
      </w:r>
      <w:r w:rsidRPr="000F23FB">
        <w:rPr>
          <w:rFonts w:ascii="仿宋_GB2312" w:eastAsia="宋体" w:hAnsi="仿宋_GB2312" w:cs="Times New Roman"/>
          <w:sz w:val="32"/>
          <w:szCs w:val="32"/>
        </w:rPr>
        <w:t xml:space="preserve">0 </w:t>
      </w:r>
      <w:r w:rsidRPr="000F23FB">
        <w:rPr>
          <w:rFonts w:ascii="仿宋_GB2312" w:eastAsia="宋体" w:hAnsi="仿宋_GB2312" w:cs="Times New Roman"/>
          <w:sz w:val="32"/>
          <w:szCs w:val="32"/>
        </w:rPr>
        <w:t>万元，年初结转和结余</w:t>
      </w:r>
      <w:r w:rsidRPr="000F23FB">
        <w:rPr>
          <w:rFonts w:ascii="仿宋_GB2312" w:eastAsia="宋体" w:hAnsi="仿宋_GB2312" w:cs="Times New Roman"/>
          <w:sz w:val="32"/>
          <w:szCs w:val="32"/>
        </w:rPr>
        <w:t xml:space="preserve">4.35 </w:t>
      </w:r>
      <w:r w:rsidRPr="000F23FB">
        <w:rPr>
          <w:rFonts w:ascii="仿宋_GB2312" w:eastAsia="宋体" w:hAnsi="仿宋_GB2312" w:cs="Times New Roman"/>
          <w:sz w:val="32"/>
          <w:szCs w:val="32"/>
        </w:rPr>
        <w:t>万元；本年支出</w:t>
      </w:r>
      <w:r w:rsidRPr="000F23FB">
        <w:rPr>
          <w:rFonts w:ascii="仿宋_GB2312" w:eastAsia="宋体" w:hAnsi="仿宋_GB2312" w:cs="Times New Roman"/>
          <w:sz w:val="32"/>
          <w:szCs w:val="32"/>
        </w:rPr>
        <w:t>807.08</w:t>
      </w:r>
      <w:r w:rsidRPr="000F23FB">
        <w:rPr>
          <w:rFonts w:ascii="仿宋_GB2312" w:eastAsia="宋体" w:hAnsi="仿宋_GB2312" w:cs="Times New Roman"/>
          <w:sz w:val="32"/>
          <w:szCs w:val="32"/>
        </w:rPr>
        <w:t>万元，结余分配</w:t>
      </w:r>
      <w:r w:rsidRPr="000F23FB">
        <w:rPr>
          <w:rFonts w:ascii="仿宋_GB2312" w:eastAsia="宋体" w:hAnsi="仿宋_GB2312" w:cs="Times New Roman"/>
          <w:sz w:val="32"/>
          <w:szCs w:val="32"/>
        </w:rPr>
        <w:t xml:space="preserve"> 0 </w:t>
      </w:r>
      <w:r w:rsidRPr="000F23FB">
        <w:rPr>
          <w:rFonts w:ascii="仿宋_GB2312" w:eastAsia="宋体" w:hAnsi="仿宋_GB2312" w:cs="Times New Roman"/>
          <w:sz w:val="32"/>
          <w:szCs w:val="32"/>
        </w:rPr>
        <w:t>万元，年末结转和结余</w:t>
      </w:r>
      <w:r w:rsidRPr="000F23FB">
        <w:rPr>
          <w:rFonts w:ascii="仿宋_GB2312" w:eastAsia="宋体" w:hAnsi="仿宋_GB2312" w:cs="Times New Roman"/>
          <w:sz w:val="32"/>
          <w:szCs w:val="32"/>
        </w:rPr>
        <w:t xml:space="preserve"> 18.77</w:t>
      </w:r>
      <w:r w:rsidRPr="000F23FB">
        <w:rPr>
          <w:rFonts w:ascii="仿宋_GB2312" w:eastAsia="宋体" w:hAnsi="仿宋_GB2312" w:cs="Times New Roman"/>
          <w:sz w:val="32"/>
          <w:szCs w:val="32"/>
        </w:rPr>
        <w:t>万元。</w:t>
      </w:r>
      <w:r w:rsidRPr="000F23FB">
        <w:rPr>
          <w:rFonts w:ascii="仿宋_GB2312" w:eastAsia="宋体" w:hAnsi="仿宋_GB2312" w:cs="Times New Roman"/>
          <w:sz w:val="32"/>
          <w:szCs w:val="32"/>
        </w:rPr>
        <w:t>2018</w:t>
      </w:r>
      <w:r w:rsidRPr="000F23FB">
        <w:rPr>
          <w:rFonts w:ascii="仿宋_GB2312" w:eastAsia="宋体" w:hAnsi="仿宋_GB2312" w:cs="Times New Roman"/>
          <w:sz w:val="32"/>
          <w:szCs w:val="32"/>
        </w:rPr>
        <w:t>年度部门决算收、支总计与</w:t>
      </w:r>
      <w:r w:rsidRPr="000F23FB">
        <w:rPr>
          <w:rFonts w:ascii="仿宋_GB2312" w:eastAsia="宋体" w:hAnsi="仿宋_GB2312" w:cs="Times New Roman"/>
          <w:sz w:val="32"/>
          <w:szCs w:val="32"/>
        </w:rPr>
        <w:t>2017</w:t>
      </w:r>
      <w:r w:rsidRPr="000F23FB">
        <w:rPr>
          <w:rFonts w:ascii="仿宋_GB2312" w:eastAsia="宋体" w:hAnsi="仿宋_GB2312" w:cs="Times New Roman"/>
          <w:sz w:val="32"/>
          <w:szCs w:val="32"/>
        </w:rPr>
        <w:t>年相比，增加</w:t>
      </w:r>
      <w:r w:rsidRPr="000F23FB">
        <w:rPr>
          <w:rFonts w:ascii="仿宋_GB2312" w:eastAsia="宋体" w:hAnsi="仿宋_GB2312" w:cs="Times New Roman"/>
          <w:sz w:val="32"/>
          <w:szCs w:val="32"/>
        </w:rPr>
        <w:t>21.32</w:t>
      </w:r>
      <w:r w:rsidRPr="000F23FB">
        <w:rPr>
          <w:rFonts w:ascii="仿宋_GB2312" w:eastAsia="宋体" w:hAnsi="仿宋_GB2312" w:cs="Times New Roman"/>
          <w:sz w:val="32"/>
          <w:szCs w:val="32"/>
        </w:rPr>
        <w:t>万元，同比增长</w:t>
      </w:r>
      <w:r w:rsidRPr="000F23FB">
        <w:rPr>
          <w:rFonts w:ascii="仿宋_GB2312" w:eastAsia="宋体" w:hAnsi="仿宋_GB2312" w:cs="Times New Roman"/>
          <w:sz w:val="32"/>
          <w:szCs w:val="32"/>
        </w:rPr>
        <w:t>1.3%</w:t>
      </w:r>
      <w:r w:rsidRPr="000F23FB">
        <w:rPr>
          <w:rFonts w:ascii="仿宋_GB2312" w:eastAsia="宋体" w:hAnsi="仿宋_GB2312" w:cs="Times New Roman"/>
          <w:sz w:val="32"/>
          <w:szCs w:val="32"/>
        </w:rPr>
        <w:t>。原因是</w:t>
      </w:r>
      <w:r w:rsidRPr="000F23FB">
        <w:rPr>
          <w:rFonts w:ascii="仿宋" w:eastAsia="仿宋" w:hAnsi="仿宋" w:cs="宋体" w:hint="eastAsia"/>
          <w:color w:val="000000"/>
          <w:kern w:val="0"/>
          <w:sz w:val="32"/>
          <w:szCs w:val="32"/>
        </w:rPr>
        <w:t>工资增长。</w:t>
      </w:r>
    </w:p>
    <w:p w:rsidR="000F23FB" w:rsidRPr="000F23FB" w:rsidRDefault="000F23FB" w:rsidP="000F23FB">
      <w:pPr>
        <w:autoSpaceDE w:val="0"/>
        <w:spacing w:line="560" w:lineRule="exact"/>
        <w:rPr>
          <w:rFonts w:ascii="仿宋_GB2312" w:eastAsia="宋体" w:hAnsi="仿宋_GB2312" w:cs="Times New Roman" w:hint="eastAsia"/>
          <w:sz w:val="32"/>
          <w:szCs w:val="32"/>
        </w:rPr>
      </w:pPr>
      <w:r w:rsidRPr="000F23FB">
        <w:rPr>
          <w:rFonts w:ascii="仿宋_GB2312" w:eastAsia="宋体" w:hAnsi="仿宋_GB2312" w:cs="Times New Roman"/>
          <w:sz w:val="32"/>
          <w:szCs w:val="32"/>
        </w:rPr>
        <w:t>（一）</w:t>
      </w:r>
      <w:r w:rsidRPr="000F23FB">
        <w:rPr>
          <w:rFonts w:ascii="仿宋_GB2312" w:eastAsia="宋体" w:hAnsi="仿宋_GB2312" w:cs="Times New Roman"/>
          <w:sz w:val="32"/>
          <w:szCs w:val="32"/>
        </w:rPr>
        <w:t>2018</w:t>
      </w:r>
      <w:r w:rsidRPr="000F23FB">
        <w:rPr>
          <w:rFonts w:ascii="仿宋_GB2312" w:eastAsia="宋体" w:hAnsi="仿宋_GB2312" w:cs="Times New Roman"/>
          <w:sz w:val="32"/>
          <w:szCs w:val="32"/>
        </w:rPr>
        <w:t>年度本年收入</w:t>
      </w:r>
      <w:r w:rsidRPr="000F23FB">
        <w:rPr>
          <w:rFonts w:ascii="仿宋_GB2312" w:eastAsia="宋体" w:hAnsi="仿宋_GB2312" w:cs="Times New Roman"/>
          <w:sz w:val="32"/>
          <w:szCs w:val="32"/>
        </w:rPr>
        <w:t>821.5</w:t>
      </w:r>
      <w:r w:rsidRPr="000F23FB">
        <w:rPr>
          <w:rFonts w:ascii="仿宋_GB2312" w:eastAsia="宋体" w:hAnsi="仿宋_GB2312" w:cs="Times New Roman"/>
          <w:sz w:val="32"/>
          <w:szCs w:val="32"/>
        </w:rPr>
        <w:t>万元，其中：财政拨款</w:t>
      </w:r>
      <w:r w:rsidRPr="000F23FB">
        <w:rPr>
          <w:rFonts w:ascii="仿宋_GB2312" w:eastAsia="宋体" w:hAnsi="仿宋_GB2312" w:cs="Times New Roman"/>
          <w:sz w:val="32"/>
          <w:szCs w:val="32"/>
        </w:rPr>
        <w:t>821.49</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 xml:space="preserve"> 99.99 %</w:t>
      </w:r>
      <w:r w:rsidRPr="000F23FB">
        <w:rPr>
          <w:rFonts w:ascii="仿宋_GB2312" w:eastAsia="宋体" w:hAnsi="仿宋_GB2312" w:cs="Times New Roman"/>
          <w:sz w:val="32"/>
          <w:szCs w:val="32"/>
        </w:rPr>
        <w:t>；事业收入</w:t>
      </w:r>
      <w:r w:rsidRPr="000F23FB">
        <w:rPr>
          <w:rFonts w:ascii="仿宋_GB2312" w:eastAsia="宋体" w:hAnsi="仿宋_GB2312" w:cs="Times New Roman"/>
          <w:sz w:val="32"/>
          <w:szCs w:val="32"/>
        </w:rPr>
        <w:t>0</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 xml:space="preserve"> 0 %</w:t>
      </w:r>
      <w:r w:rsidRPr="000F23FB">
        <w:rPr>
          <w:rFonts w:ascii="仿宋_GB2312" w:eastAsia="宋体" w:hAnsi="仿宋_GB2312" w:cs="Times New Roman"/>
          <w:sz w:val="32"/>
          <w:szCs w:val="32"/>
        </w:rPr>
        <w:t>；其他收入</w:t>
      </w:r>
      <w:r w:rsidRPr="000F23FB">
        <w:rPr>
          <w:rFonts w:ascii="仿宋_GB2312" w:eastAsia="宋体" w:hAnsi="仿宋_GB2312" w:cs="Times New Roman"/>
          <w:sz w:val="32"/>
          <w:szCs w:val="32"/>
        </w:rPr>
        <w:t>0.01</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0.01%</w:t>
      </w:r>
      <w:r w:rsidRPr="000F23FB">
        <w:rPr>
          <w:rFonts w:ascii="仿宋_GB2312" w:eastAsia="宋体" w:hAnsi="仿宋_GB2312" w:cs="Times New Roman"/>
          <w:sz w:val="32"/>
          <w:szCs w:val="32"/>
        </w:rPr>
        <w:t>。</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sz w:val="32"/>
          <w:szCs w:val="32"/>
        </w:rPr>
        <w:t>（二）</w:t>
      </w:r>
      <w:r w:rsidRPr="000F23FB">
        <w:rPr>
          <w:rFonts w:ascii="仿宋_GB2312" w:eastAsia="宋体" w:hAnsi="仿宋_GB2312" w:cs="Times New Roman"/>
          <w:sz w:val="32"/>
          <w:szCs w:val="32"/>
        </w:rPr>
        <w:t>2018</w:t>
      </w:r>
      <w:r w:rsidRPr="000F23FB">
        <w:rPr>
          <w:rFonts w:ascii="仿宋_GB2312" w:eastAsia="宋体" w:hAnsi="仿宋_GB2312" w:cs="Times New Roman"/>
          <w:sz w:val="32"/>
          <w:szCs w:val="32"/>
        </w:rPr>
        <w:t>年度用事业基金弥补收支差额</w:t>
      </w:r>
      <w:r w:rsidRPr="000F23FB">
        <w:rPr>
          <w:rFonts w:ascii="仿宋_GB2312" w:eastAsia="宋体" w:hAnsi="仿宋_GB2312" w:cs="Times New Roman"/>
          <w:sz w:val="32"/>
          <w:szCs w:val="32"/>
        </w:rPr>
        <w:t xml:space="preserve"> 0</w:t>
      </w:r>
      <w:r w:rsidRPr="000F23FB">
        <w:rPr>
          <w:rFonts w:ascii="仿宋_GB2312" w:eastAsia="宋体" w:hAnsi="仿宋_GB2312" w:cs="Times New Roman"/>
          <w:sz w:val="32"/>
          <w:szCs w:val="32"/>
        </w:rPr>
        <w:t>万元。</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sz w:val="32"/>
          <w:szCs w:val="32"/>
        </w:rPr>
        <w:t>（三）</w:t>
      </w:r>
      <w:r w:rsidRPr="000F23FB">
        <w:rPr>
          <w:rFonts w:ascii="仿宋_GB2312" w:eastAsia="宋体" w:hAnsi="仿宋_GB2312" w:cs="Times New Roman"/>
          <w:sz w:val="32"/>
          <w:szCs w:val="32"/>
        </w:rPr>
        <w:t>2018</w:t>
      </w:r>
      <w:r w:rsidRPr="000F23FB">
        <w:rPr>
          <w:rFonts w:ascii="仿宋_GB2312" w:eastAsia="宋体" w:hAnsi="仿宋_GB2312" w:cs="Times New Roman"/>
          <w:sz w:val="32"/>
          <w:szCs w:val="32"/>
        </w:rPr>
        <w:t>年初结转和结余</w:t>
      </w:r>
      <w:r w:rsidRPr="000F23FB">
        <w:rPr>
          <w:rFonts w:ascii="仿宋_GB2312" w:eastAsia="宋体" w:hAnsi="仿宋_GB2312" w:cs="Times New Roman"/>
          <w:sz w:val="32"/>
          <w:szCs w:val="32"/>
        </w:rPr>
        <w:t xml:space="preserve">4.35 </w:t>
      </w:r>
      <w:r w:rsidRPr="000F23FB">
        <w:rPr>
          <w:rFonts w:ascii="仿宋_GB2312" w:eastAsia="宋体" w:hAnsi="仿宋_GB2312" w:cs="Times New Roman"/>
          <w:sz w:val="32"/>
          <w:szCs w:val="32"/>
        </w:rPr>
        <w:t>万元，其中：基本支出结转</w:t>
      </w:r>
      <w:r w:rsidRPr="000F23FB">
        <w:rPr>
          <w:rFonts w:ascii="仿宋_GB2312" w:eastAsia="宋体" w:hAnsi="仿宋_GB2312" w:cs="Times New Roman"/>
          <w:sz w:val="32"/>
          <w:szCs w:val="32"/>
        </w:rPr>
        <w:t>4.35</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100%</w:t>
      </w:r>
      <w:r w:rsidRPr="000F23FB">
        <w:rPr>
          <w:rFonts w:ascii="仿宋_GB2312" w:eastAsia="宋体" w:hAnsi="仿宋_GB2312" w:cs="Times New Roman"/>
          <w:sz w:val="32"/>
          <w:szCs w:val="32"/>
        </w:rPr>
        <w:t>；项目支出结转和结余</w:t>
      </w:r>
      <w:r w:rsidRPr="000F23FB">
        <w:rPr>
          <w:rFonts w:ascii="仿宋_GB2312" w:eastAsia="宋体" w:hAnsi="仿宋_GB2312" w:cs="Times New Roman"/>
          <w:sz w:val="32"/>
          <w:szCs w:val="32"/>
        </w:rPr>
        <w:t>0</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0%</w:t>
      </w:r>
      <w:r w:rsidRPr="000F23FB">
        <w:rPr>
          <w:rFonts w:ascii="仿宋_GB2312" w:eastAsia="宋体" w:hAnsi="仿宋_GB2312" w:cs="Times New Roman"/>
          <w:sz w:val="32"/>
          <w:szCs w:val="32"/>
        </w:rPr>
        <w:t>。</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sz w:val="32"/>
          <w:szCs w:val="32"/>
        </w:rPr>
        <w:t>（四）</w:t>
      </w:r>
      <w:r w:rsidRPr="000F23FB">
        <w:rPr>
          <w:rFonts w:ascii="仿宋_GB2312" w:eastAsia="宋体" w:hAnsi="仿宋_GB2312" w:cs="Times New Roman"/>
          <w:sz w:val="32"/>
          <w:szCs w:val="32"/>
        </w:rPr>
        <w:t>2018</w:t>
      </w:r>
      <w:r w:rsidRPr="000F23FB">
        <w:rPr>
          <w:rFonts w:ascii="仿宋_GB2312" w:eastAsia="宋体" w:hAnsi="仿宋_GB2312" w:cs="Times New Roman"/>
          <w:sz w:val="32"/>
          <w:szCs w:val="32"/>
        </w:rPr>
        <w:t>年度本年支出</w:t>
      </w:r>
      <w:r w:rsidRPr="000F23FB">
        <w:rPr>
          <w:rFonts w:ascii="仿宋_GB2312" w:eastAsia="宋体" w:hAnsi="仿宋_GB2312" w:cs="Times New Roman"/>
          <w:sz w:val="32"/>
          <w:szCs w:val="32"/>
        </w:rPr>
        <w:t>807.08</w:t>
      </w:r>
      <w:r w:rsidRPr="000F23FB">
        <w:rPr>
          <w:rFonts w:ascii="仿宋_GB2312" w:eastAsia="宋体" w:hAnsi="仿宋_GB2312" w:cs="Times New Roman"/>
          <w:sz w:val="32"/>
          <w:szCs w:val="32"/>
        </w:rPr>
        <w:t>万元。</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sz w:val="32"/>
          <w:szCs w:val="32"/>
        </w:rPr>
        <w:t>按照支出性质分类：基本支出</w:t>
      </w:r>
      <w:r w:rsidRPr="000F23FB">
        <w:rPr>
          <w:rFonts w:ascii="仿宋_GB2312" w:eastAsia="宋体" w:hAnsi="仿宋_GB2312" w:cs="Times New Roman"/>
          <w:sz w:val="32"/>
          <w:szCs w:val="32"/>
        </w:rPr>
        <w:t>687.52</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85.2 %</w:t>
      </w:r>
      <w:r w:rsidRPr="000F23FB">
        <w:rPr>
          <w:rFonts w:ascii="仿宋_GB2312" w:eastAsia="宋体" w:hAnsi="仿宋_GB2312" w:cs="Times New Roman"/>
          <w:sz w:val="32"/>
          <w:szCs w:val="32"/>
        </w:rPr>
        <w:t>，项目支出</w:t>
      </w:r>
      <w:r w:rsidRPr="000F23FB">
        <w:rPr>
          <w:rFonts w:ascii="仿宋_GB2312" w:eastAsia="宋体" w:hAnsi="仿宋_GB2312" w:cs="Times New Roman"/>
          <w:sz w:val="32"/>
          <w:szCs w:val="32"/>
        </w:rPr>
        <w:t>119.56</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 xml:space="preserve"> 14.8%</w:t>
      </w:r>
      <w:r w:rsidRPr="000F23FB">
        <w:rPr>
          <w:rFonts w:ascii="仿宋_GB2312" w:eastAsia="宋体" w:hAnsi="仿宋_GB2312" w:cs="Times New Roman"/>
          <w:sz w:val="32"/>
          <w:szCs w:val="32"/>
        </w:rPr>
        <w:t>。</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sz w:val="32"/>
          <w:szCs w:val="32"/>
        </w:rPr>
        <w:t>按照支出功能分类：一般公共服务（类）支出</w:t>
      </w:r>
      <w:r w:rsidRPr="000F23FB">
        <w:rPr>
          <w:rFonts w:ascii="仿宋_GB2312" w:eastAsia="宋体" w:hAnsi="仿宋_GB2312" w:cs="Times New Roman"/>
          <w:sz w:val="32"/>
          <w:szCs w:val="32"/>
        </w:rPr>
        <w:t>0</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0 %</w:t>
      </w:r>
      <w:r w:rsidRPr="000F23FB">
        <w:rPr>
          <w:rFonts w:ascii="仿宋_GB2312" w:eastAsia="宋体" w:hAnsi="仿宋_GB2312" w:cs="Times New Roman"/>
          <w:sz w:val="32"/>
          <w:szCs w:val="32"/>
        </w:rPr>
        <w:t>；社会保障和就业（类）支出</w:t>
      </w:r>
      <w:r w:rsidRPr="000F23FB">
        <w:rPr>
          <w:rFonts w:ascii="仿宋_GB2312" w:eastAsia="宋体" w:hAnsi="仿宋_GB2312" w:cs="Times New Roman"/>
          <w:sz w:val="32"/>
          <w:szCs w:val="32"/>
        </w:rPr>
        <w:t>32.13</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4.0 %</w:t>
      </w:r>
      <w:r w:rsidRPr="000F23FB">
        <w:rPr>
          <w:rFonts w:ascii="仿宋_GB2312" w:eastAsia="宋体" w:hAnsi="仿宋_GB2312" w:cs="Times New Roman"/>
          <w:sz w:val="32"/>
          <w:szCs w:val="32"/>
        </w:rPr>
        <w:t>；医疗卫生与计划生育（类）支出</w:t>
      </w:r>
      <w:r w:rsidRPr="000F23FB">
        <w:rPr>
          <w:rFonts w:ascii="仿宋_GB2312" w:eastAsia="宋体" w:hAnsi="仿宋_GB2312" w:cs="Times New Roman"/>
          <w:sz w:val="32"/>
          <w:szCs w:val="32"/>
        </w:rPr>
        <w:t xml:space="preserve">19.95 </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2.5%</w:t>
      </w:r>
      <w:r w:rsidRPr="000F23FB">
        <w:rPr>
          <w:rFonts w:ascii="仿宋_GB2312" w:eastAsia="宋体" w:hAnsi="仿宋_GB2312" w:cs="Times New Roman"/>
          <w:sz w:val="32"/>
          <w:szCs w:val="32"/>
        </w:rPr>
        <w:t>；住房保障（类）支出</w:t>
      </w:r>
      <w:r w:rsidRPr="000F23FB">
        <w:rPr>
          <w:rFonts w:ascii="仿宋_GB2312" w:eastAsia="宋体" w:hAnsi="仿宋_GB2312" w:cs="Times New Roman"/>
          <w:sz w:val="32"/>
          <w:szCs w:val="32"/>
        </w:rPr>
        <w:t xml:space="preserve">755.01 </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93.5%</w:t>
      </w:r>
      <w:r w:rsidRPr="000F23FB">
        <w:rPr>
          <w:rFonts w:ascii="仿宋_GB2312" w:eastAsia="宋体" w:hAnsi="仿宋_GB2312" w:cs="Times New Roman"/>
          <w:sz w:val="32"/>
          <w:szCs w:val="32"/>
        </w:rPr>
        <w:t>；</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sz w:val="32"/>
          <w:szCs w:val="32"/>
        </w:rPr>
        <w:t xml:space="preserve"> </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sz w:val="32"/>
          <w:szCs w:val="32"/>
        </w:rPr>
        <w:t>（五）</w:t>
      </w:r>
      <w:r w:rsidRPr="000F23FB">
        <w:rPr>
          <w:rFonts w:ascii="仿宋_GB2312" w:eastAsia="宋体" w:hAnsi="仿宋_GB2312" w:cs="Times New Roman"/>
          <w:sz w:val="32"/>
          <w:szCs w:val="32"/>
        </w:rPr>
        <w:t>2018</w:t>
      </w:r>
      <w:r w:rsidRPr="000F23FB">
        <w:rPr>
          <w:rFonts w:ascii="仿宋_GB2312" w:eastAsia="宋体" w:hAnsi="仿宋_GB2312" w:cs="Times New Roman"/>
          <w:sz w:val="32"/>
          <w:szCs w:val="32"/>
        </w:rPr>
        <w:t>年末结转和结余</w:t>
      </w:r>
      <w:r w:rsidRPr="000F23FB">
        <w:rPr>
          <w:rFonts w:ascii="仿宋_GB2312" w:eastAsia="宋体" w:hAnsi="仿宋_GB2312" w:cs="Times New Roman"/>
          <w:sz w:val="32"/>
          <w:szCs w:val="32"/>
        </w:rPr>
        <w:t>18.77</w:t>
      </w:r>
      <w:r w:rsidRPr="000F23FB">
        <w:rPr>
          <w:rFonts w:ascii="仿宋_GB2312" w:eastAsia="宋体" w:hAnsi="仿宋_GB2312" w:cs="Times New Roman"/>
          <w:sz w:val="32"/>
          <w:szCs w:val="32"/>
        </w:rPr>
        <w:t>万元，其中：基本支出结转</w:t>
      </w:r>
      <w:r w:rsidRPr="000F23FB">
        <w:rPr>
          <w:rFonts w:ascii="仿宋_GB2312" w:eastAsia="宋体" w:hAnsi="仿宋_GB2312" w:cs="Times New Roman"/>
          <w:sz w:val="32"/>
          <w:szCs w:val="32"/>
        </w:rPr>
        <w:t>18.77</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100 %</w:t>
      </w:r>
      <w:r w:rsidRPr="000F23FB">
        <w:rPr>
          <w:rFonts w:ascii="仿宋_GB2312" w:eastAsia="宋体" w:hAnsi="仿宋_GB2312" w:cs="Times New Roman"/>
          <w:sz w:val="32"/>
          <w:szCs w:val="32"/>
        </w:rPr>
        <w:t>；项目支出结转和结余</w:t>
      </w:r>
      <w:r w:rsidRPr="000F23FB">
        <w:rPr>
          <w:rFonts w:ascii="仿宋_GB2312" w:eastAsia="宋体" w:hAnsi="仿宋_GB2312" w:cs="Times New Roman"/>
          <w:sz w:val="32"/>
          <w:szCs w:val="32"/>
        </w:rPr>
        <w:t>0</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0%</w:t>
      </w:r>
      <w:r w:rsidRPr="000F23FB">
        <w:rPr>
          <w:rFonts w:ascii="仿宋_GB2312" w:eastAsia="宋体" w:hAnsi="仿宋_GB2312" w:cs="Times New Roman"/>
          <w:sz w:val="32"/>
          <w:szCs w:val="32"/>
        </w:rPr>
        <w:t>。</w:t>
      </w:r>
    </w:p>
    <w:p w:rsidR="000F23FB" w:rsidRPr="000F23FB" w:rsidRDefault="000F23FB" w:rsidP="000F23FB">
      <w:pPr>
        <w:keepNext/>
        <w:autoSpaceDE w:val="0"/>
        <w:spacing w:line="560" w:lineRule="exact"/>
        <w:outlineLvl w:val="1"/>
        <w:rPr>
          <w:rFonts w:ascii="黑体" w:eastAsia="黑体" w:hAnsi="黑体" w:cs="Arial"/>
          <w:sz w:val="32"/>
          <w:szCs w:val="32"/>
        </w:rPr>
      </w:pPr>
      <w:bookmarkStart w:id="23" w:name="_Toc29645"/>
      <w:bookmarkEnd w:id="23"/>
      <w:r w:rsidRPr="000F23FB">
        <w:rPr>
          <w:rFonts w:ascii="黑体" w:eastAsia="黑体" w:hAnsi="黑体" w:cs="Arial" w:hint="eastAsia"/>
          <w:sz w:val="32"/>
          <w:szCs w:val="32"/>
        </w:rPr>
        <w:t>二、财政拨款收入支出情况说明</w:t>
      </w:r>
    </w:p>
    <w:p w:rsidR="000F23FB" w:rsidRPr="000F23FB" w:rsidRDefault="000F23FB" w:rsidP="000F23FB">
      <w:pPr>
        <w:autoSpaceDE w:val="0"/>
        <w:spacing w:line="560" w:lineRule="exact"/>
        <w:rPr>
          <w:rFonts w:ascii="仿宋" w:eastAsia="仿宋" w:hAnsi="仿宋" w:cs="宋体" w:hint="eastAsia"/>
          <w:color w:val="000000"/>
          <w:kern w:val="0"/>
          <w:sz w:val="32"/>
          <w:szCs w:val="32"/>
        </w:rPr>
      </w:pPr>
      <w:r w:rsidRPr="000F23FB">
        <w:rPr>
          <w:rFonts w:ascii="仿宋_GB2312" w:eastAsia="宋体" w:hAnsi="仿宋_GB2312" w:cs="Times New Roman"/>
          <w:sz w:val="32"/>
          <w:szCs w:val="32"/>
        </w:rPr>
        <w:t>双鸭山市住房公积金管理中心</w:t>
      </w:r>
      <w:r w:rsidRPr="000F23FB">
        <w:rPr>
          <w:rFonts w:ascii="仿宋_GB2312" w:eastAsia="宋体" w:hAnsi="仿宋_GB2312" w:cs="Times New Roman"/>
          <w:sz w:val="32"/>
          <w:szCs w:val="32"/>
        </w:rPr>
        <w:t>2018</w:t>
      </w:r>
      <w:r w:rsidRPr="000F23FB">
        <w:rPr>
          <w:rFonts w:ascii="仿宋_GB2312" w:eastAsia="宋体" w:hAnsi="仿宋_GB2312" w:cs="Times New Roman"/>
          <w:sz w:val="32"/>
          <w:szCs w:val="32"/>
        </w:rPr>
        <w:t>年度财政拨款收、支总</w:t>
      </w:r>
      <w:r w:rsidRPr="000F23FB">
        <w:rPr>
          <w:rFonts w:ascii="仿宋_GB2312" w:eastAsia="宋体" w:hAnsi="仿宋_GB2312" w:cs="Times New Roman"/>
          <w:sz w:val="32"/>
          <w:szCs w:val="32"/>
        </w:rPr>
        <w:lastRenderedPageBreak/>
        <w:t>计</w:t>
      </w:r>
      <w:r w:rsidRPr="000F23FB">
        <w:rPr>
          <w:rFonts w:ascii="仿宋_GB2312" w:eastAsia="宋体" w:hAnsi="仿宋_GB2312" w:cs="Times New Roman"/>
          <w:sz w:val="32"/>
          <w:szCs w:val="32"/>
        </w:rPr>
        <w:t>1628.57</w:t>
      </w:r>
      <w:r w:rsidRPr="000F23FB">
        <w:rPr>
          <w:rFonts w:ascii="仿宋_GB2312" w:eastAsia="宋体" w:hAnsi="仿宋_GB2312" w:cs="Times New Roman"/>
          <w:sz w:val="32"/>
          <w:szCs w:val="32"/>
        </w:rPr>
        <w:t>万元，其中：本年收入</w:t>
      </w:r>
      <w:r w:rsidRPr="000F23FB">
        <w:rPr>
          <w:rFonts w:ascii="仿宋_GB2312" w:eastAsia="宋体" w:hAnsi="仿宋_GB2312" w:cs="Times New Roman"/>
          <w:sz w:val="32"/>
          <w:szCs w:val="32"/>
        </w:rPr>
        <w:t xml:space="preserve">821.49 </w:t>
      </w:r>
      <w:r w:rsidRPr="000F23FB">
        <w:rPr>
          <w:rFonts w:ascii="仿宋_GB2312" w:eastAsia="宋体" w:hAnsi="仿宋_GB2312" w:cs="Times New Roman"/>
          <w:sz w:val="32"/>
          <w:szCs w:val="32"/>
        </w:rPr>
        <w:t>万元，年初财政拨款结转和结余</w:t>
      </w:r>
      <w:r w:rsidRPr="000F23FB">
        <w:rPr>
          <w:rFonts w:ascii="仿宋_GB2312" w:eastAsia="宋体" w:hAnsi="仿宋_GB2312" w:cs="Times New Roman"/>
          <w:sz w:val="32"/>
          <w:szCs w:val="32"/>
        </w:rPr>
        <w:t>4.35</w:t>
      </w:r>
      <w:r w:rsidRPr="000F23FB">
        <w:rPr>
          <w:rFonts w:ascii="仿宋_GB2312" w:eastAsia="宋体" w:hAnsi="仿宋_GB2312" w:cs="Times New Roman"/>
          <w:sz w:val="32"/>
          <w:szCs w:val="32"/>
        </w:rPr>
        <w:t>万元。本年支出</w:t>
      </w:r>
      <w:r w:rsidRPr="000F23FB">
        <w:rPr>
          <w:rFonts w:ascii="仿宋_GB2312" w:eastAsia="宋体" w:hAnsi="仿宋_GB2312" w:cs="Times New Roman"/>
          <w:sz w:val="32"/>
          <w:szCs w:val="32"/>
        </w:rPr>
        <w:t>807.08</w:t>
      </w:r>
      <w:r w:rsidRPr="000F23FB">
        <w:rPr>
          <w:rFonts w:ascii="仿宋_GB2312" w:eastAsia="宋体" w:hAnsi="仿宋_GB2312" w:cs="Times New Roman"/>
          <w:sz w:val="32"/>
          <w:szCs w:val="32"/>
        </w:rPr>
        <w:t>万元，年末财政拨款结转和结余</w:t>
      </w:r>
      <w:r w:rsidRPr="000F23FB">
        <w:rPr>
          <w:rFonts w:ascii="仿宋_GB2312" w:eastAsia="宋体" w:hAnsi="仿宋_GB2312" w:cs="Times New Roman"/>
          <w:sz w:val="32"/>
          <w:szCs w:val="32"/>
        </w:rPr>
        <w:t>18.76</w:t>
      </w:r>
      <w:r w:rsidRPr="000F23FB">
        <w:rPr>
          <w:rFonts w:ascii="仿宋_GB2312" w:eastAsia="宋体" w:hAnsi="仿宋_GB2312" w:cs="Times New Roman"/>
          <w:sz w:val="32"/>
          <w:szCs w:val="32"/>
        </w:rPr>
        <w:t>万元。</w:t>
      </w:r>
      <w:r w:rsidRPr="000F23FB">
        <w:rPr>
          <w:rFonts w:ascii="仿宋_GB2312" w:eastAsia="宋体" w:hAnsi="仿宋_GB2312" w:cs="Times New Roman"/>
          <w:sz w:val="32"/>
          <w:szCs w:val="32"/>
        </w:rPr>
        <w:t>2018</w:t>
      </w:r>
      <w:r w:rsidRPr="000F23FB">
        <w:rPr>
          <w:rFonts w:ascii="仿宋_GB2312" w:eastAsia="宋体" w:hAnsi="仿宋_GB2312" w:cs="Times New Roman"/>
          <w:sz w:val="32"/>
          <w:szCs w:val="32"/>
        </w:rPr>
        <w:t>年度财政拨款收入总计与</w:t>
      </w:r>
      <w:r w:rsidRPr="000F23FB">
        <w:rPr>
          <w:rFonts w:ascii="仿宋_GB2312" w:eastAsia="宋体" w:hAnsi="仿宋_GB2312" w:cs="Times New Roman"/>
          <w:sz w:val="32"/>
          <w:szCs w:val="32"/>
        </w:rPr>
        <w:t>2017</w:t>
      </w:r>
      <w:r w:rsidRPr="000F23FB">
        <w:rPr>
          <w:rFonts w:ascii="仿宋_GB2312" w:eastAsia="宋体" w:hAnsi="仿宋_GB2312" w:cs="Times New Roman"/>
          <w:sz w:val="32"/>
          <w:szCs w:val="32"/>
        </w:rPr>
        <w:t>年相比，增加</w:t>
      </w:r>
      <w:r w:rsidRPr="000F23FB">
        <w:rPr>
          <w:rFonts w:ascii="仿宋_GB2312" w:eastAsia="宋体" w:hAnsi="仿宋_GB2312" w:cs="Times New Roman"/>
          <w:sz w:val="32"/>
          <w:szCs w:val="32"/>
        </w:rPr>
        <w:t>17.5</w:t>
      </w:r>
      <w:r w:rsidRPr="000F23FB">
        <w:rPr>
          <w:rFonts w:ascii="仿宋_GB2312" w:eastAsia="宋体" w:hAnsi="仿宋_GB2312" w:cs="Times New Roman"/>
          <w:sz w:val="32"/>
          <w:szCs w:val="32"/>
        </w:rPr>
        <w:t>万元，同比增长</w:t>
      </w:r>
      <w:r w:rsidRPr="000F23FB">
        <w:rPr>
          <w:rFonts w:ascii="仿宋_GB2312" w:eastAsia="宋体" w:hAnsi="仿宋_GB2312" w:cs="Times New Roman"/>
          <w:sz w:val="32"/>
          <w:szCs w:val="32"/>
        </w:rPr>
        <w:t>1.3%</w:t>
      </w:r>
      <w:r w:rsidRPr="000F23FB">
        <w:rPr>
          <w:rFonts w:ascii="仿宋_GB2312" w:eastAsia="宋体" w:hAnsi="仿宋_GB2312" w:cs="Times New Roman"/>
          <w:sz w:val="32"/>
          <w:szCs w:val="32"/>
        </w:rPr>
        <w:t>。主要原因是：</w:t>
      </w:r>
      <w:r w:rsidRPr="000F23FB">
        <w:rPr>
          <w:rFonts w:ascii="仿宋" w:eastAsia="仿宋" w:hAnsi="仿宋" w:cs="宋体" w:hint="eastAsia"/>
          <w:color w:val="000000"/>
          <w:kern w:val="0"/>
          <w:sz w:val="32"/>
          <w:szCs w:val="32"/>
        </w:rPr>
        <w:t>工资增长。</w:t>
      </w:r>
    </w:p>
    <w:p w:rsidR="000F23FB" w:rsidRPr="000F23FB" w:rsidRDefault="000F23FB" w:rsidP="000F23FB">
      <w:pPr>
        <w:autoSpaceDE w:val="0"/>
        <w:spacing w:line="560" w:lineRule="exact"/>
        <w:rPr>
          <w:rFonts w:ascii="仿宋_GB2312" w:eastAsia="宋体" w:hAnsi="仿宋_GB2312" w:cs="Times New Roman" w:hint="eastAsia"/>
          <w:sz w:val="32"/>
          <w:szCs w:val="32"/>
        </w:rPr>
      </w:pPr>
      <w:r w:rsidRPr="000F23FB">
        <w:rPr>
          <w:rFonts w:ascii="仿宋_GB2312" w:eastAsia="宋体" w:hAnsi="仿宋_GB2312" w:cs="Times New Roman"/>
          <w:sz w:val="32"/>
          <w:szCs w:val="32"/>
        </w:rPr>
        <w:t>（一）</w:t>
      </w:r>
      <w:r w:rsidRPr="000F23FB">
        <w:rPr>
          <w:rFonts w:ascii="仿宋_GB2312" w:eastAsia="宋体" w:hAnsi="仿宋_GB2312" w:cs="Times New Roman"/>
          <w:sz w:val="32"/>
          <w:szCs w:val="32"/>
        </w:rPr>
        <w:t>2018</w:t>
      </w:r>
      <w:r w:rsidRPr="000F23FB">
        <w:rPr>
          <w:rFonts w:ascii="仿宋_GB2312" w:eastAsia="宋体" w:hAnsi="仿宋_GB2312" w:cs="Times New Roman"/>
          <w:sz w:val="32"/>
          <w:szCs w:val="32"/>
        </w:rPr>
        <w:t>年度财政拨款本年收入</w:t>
      </w:r>
      <w:r w:rsidRPr="000F23FB">
        <w:rPr>
          <w:rFonts w:ascii="仿宋_GB2312" w:eastAsia="宋体" w:hAnsi="仿宋_GB2312" w:cs="Times New Roman"/>
          <w:sz w:val="32"/>
          <w:szCs w:val="32"/>
        </w:rPr>
        <w:t xml:space="preserve">821.49 </w:t>
      </w:r>
      <w:r w:rsidRPr="000F23FB">
        <w:rPr>
          <w:rFonts w:ascii="仿宋_GB2312" w:eastAsia="宋体" w:hAnsi="仿宋_GB2312" w:cs="Times New Roman"/>
          <w:sz w:val="32"/>
          <w:szCs w:val="32"/>
        </w:rPr>
        <w:t>万元，其中：一般公共预算财政拨款</w:t>
      </w:r>
      <w:r w:rsidRPr="000F23FB">
        <w:rPr>
          <w:rFonts w:ascii="仿宋_GB2312" w:eastAsia="宋体" w:hAnsi="仿宋_GB2312" w:cs="Times New Roman"/>
          <w:sz w:val="32"/>
          <w:szCs w:val="32"/>
        </w:rPr>
        <w:t xml:space="preserve">821.49 </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 xml:space="preserve"> 100 %</w:t>
      </w:r>
      <w:r w:rsidRPr="000F23FB">
        <w:rPr>
          <w:rFonts w:ascii="仿宋_GB2312" w:eastAsia="宋体" w:hAnsi="仿宋_GB2312" w:cs="Times New Roman"/>
          <w:sz w:val="32"/>
          <w:szCs w:val="32"/>
        </w:rPr>
        <w:t>；政府性基金预算财政拨款</w:t>
      </w:r>
      <w:r w:rsidRPr="000F23FB">
        <w:rPr>
          <w:rFonts w:ascii="仿宋_GB2312" w:eastAsia="宋体" w:hAnsi="仿宋_GB2312" w:cs="Times New Roman"/>
          <w:sz w:val="32"/>
          <w:szCs w:val="32"/>
        </w:rPr>
        <w:t>0</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0%</w:t>
      </w:r>
      <w:r w:rsidRPr="000F23FB">
        <w:rPr>
          <w:rFonts w:ascii="仿宋_GB2312" w:eastAsia="宋体" w:hAnsi="仿宋_GB2312" w:cs="Times New Roman"/>
          <w:sz w:val="32"/>
          <w:szCs w:val="32"/>
        </w:rPr>
        <w:t>。</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sz w:val="32"/>
          <w:szCs w:val="32"/>
        </w:rPr>
        <w:t>（二）</w:t>
      </w:r>
      <w:r w:rsidRPr="000F23FB">
        <w:rPr>
          <w:rFonts w:ascii="仿宋_GB2312" w:eastAsia="宋体" w:hAnsi="仿宋_GB2312" w:cs="Times New Roman"/>
          <w:sz w:val="32"/>
          <w:szCs w:val="32"/>
        </w:rPr>
        <w:t>2018</w:t>
      </w:r>
      <w:r w:rsidRPr="000F23FB">
        <w:rPr>
          <w:rFonts w:ascii="仿宋_GB2312" w:eastAsia="宋体" w:hAnsi="仿宋_GB2312" w:cs="Times New Roman"/>
          <w:sz w:val="32"/>
          <w:szCs w:val="32"/>
        </w:rPr>
        <w:t>年末财政拨款结转和结余</w:t>
      </w:r>
      <w:r w:rsidRPr="000F23FB">
        <w:rPr>
          <w:rFonts w:ascii="仿宋_GB2312" w:eastAsia="宋体" w:hAnsi="仿宋_GB2312" w:cs="Times New Roman"/>
          <w:sz w:val="32"/>
          <w:szCs w:val="32"/>
        </w:rPr>
        <w:t>18.77</w:t>
      </w:r>
      <w:r w:rsidRPr="000F23FB">
        <w:rPr>
          <w:rFonts w:ascii="仿宋_GB2312" w:eastAsia="宋体" w:hAnsi="仿宋_GB2312" w:cs="Times New Roman"/>
          <w:sz w:val="32"/>
          <w:szCs w:val="32"/>
        </w:rPr>
        <w:t>万元，其中：基本支出结转</w:t>
      </w:r>
      <w:r w:rsidRPr="000F23FB">
        <w:rPr>
          <w:rFonts w:ascii="仿宋_GB2312" w:eastAsia="宋体" w:hAnsi="仿宋_GB2312" w:cs="Times New Roman"/>
          <w:sz w:val="32"/>
          <w:szCs w:val="32"/>
        </w:rPr>
        <w:t>18.77</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100 %</w:t>
      </w:r>
      <w:r w:rsidRPr="000F23FB">
        <w:rPr>
          <w:rFonts w:ascii="仿宋_GB2312" w:eastAsia="宋体" w:hAnsi="仿宋_GB2312" w:cs="Times New Roman"/>
          <w:sz w:val="32"/>
          <w:szCs w:val="32"/>
        </w:rPr>
        <w:t>；项目支出结转和结余</w:t>
      </w:r>
      <w:r w:rsidRPr="000F23FB">
        <w:rPr>
          <w:rFonts w:ascii="仿宋_GB2312" w:eastAsia="宋体" w:hAnsi="仿宋_GB2312" w:cs="Times New Roman"/>
          <w:sz w:val="32"/>
          <w:szCs w:val="32"/>
        </w:rPr>
        <w:t xml:space="preserve"> 0</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0%</w:t>
      </w:r>
      <w:r w:rsidRPr="000F23FB">
        <w:rPr>
          <w:rFonts w:ascii="仿宋_GB2312" w:eastAsia="宋体" w:hAnsi="仿宋_GB2312" w:cs="Times New Roman"/>
          <w:sz w:val="32"/>
          <w:szCs w:val="32"/>
        </w:rPr>
        <w:t>。</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sz w:val="32"/>
          <w:szCs w:val="32"/>
        </w:rPr>
        <w:t>（三）</w:t>
      </w:r>
      <w:r w:rsidRPr="000F23FB">
        <w:rPr>
          <w:rFonts w:ascii="仿宋_GB2312" w:eastAsia="宋体" w:hAnsi="仿宋_GB2312" w:cs="Times New Roman"/>
          <w:sz w:val="32"/>
          <w:szCs w:val="32"/>
        </w:rPr>
        <w:t>2018</w:t>
      </w:r>
      <w:r w:rsidRPr="000F23FB">
        <w:rPr>
          <w:rFonts w:ascii="仿宋_GB2312" w:eastAsia="宋体" w:hAnsi="仿宋_GB2312" w:cs="Times New Roman"/>
          <w:sz w:val="32"/>
          <w:szCs w:val="32"/>
        </w:rPr>
        <w:t>年度财政拨款本年支出</w:t>
      </w:r>
      <w:r w:rsidRPr="000F23FB">
        <w:rPr>
          <w:rFonts w:ascii="仿宋_GB2312" w:eastAsia="宋体" w:hAnsi="仿宋_GB2312" w:cs="Times New Roman"/>
          <w:sz w:val="32"/>
          <w:szCs w:val="32"/>
        </w:rPr>
        <w:t xml:space="preserve">807.08 </w:t>
      </w:r>
      <w:r w:rsidRPr="000F23FB">
        <w:rPr>
          <w:rFonts w:ascii="仿宋_GB2312" w:eastAsia="宋体" w:hAnsi="仿宋_GB2312" w:cs="Times New Roman"/>
          <w:sz w:val="32"/>
          <w:szCs w:val="32"/>
        </w:rPr>
        <w:t>万元，年初预算为</w:t>
      </w:r>
      <w:r w:rsidRPr="000F23FB">
        <w:rPr>
          <w:rFonts w:ascii="仿宋_GB2312" w:eastAsia="宋体" w:hAnsi="仿宋_GB2312" w:cs="Times New Roman"/>
          <w:sz w:val="32"/>
          <w:szCs w:val="32"/>
        </w:rPr>
        <w:t>966.1</w:t>
      </w:r>
      <w:r w:rsidRPr="000F23FB">
        <w:rPr>
          <w:rFonts w:ascii="仿宋_GB2312" w:eastAsia="宋体" w:hAnsi="仿宋_GB2312" w:cs="Times New Roman"/>
          <w:sz w:val="32"/>
          <w:szCs w:val="32"/>
        </w:rPr>
        <w:t>万元，完成年初预算的</w:t>
      </w:r>
      <w:r w:rsidRPr="000F23FB">
        <w:rPr>
          <w:rFonts w:ascii="仿宋_GB2312" w:eastAsia="宋体" w:hAnsi="仿宋_GB2312" w:cs="Times New Roman"/>
          <w:sz w:val="32"/>
          <w:szCs w:val="32"/>
        </w:rPr>
        <w:t>83.5%</w:t>
      </w:r>
      <w:r w:rsidRPr="000F23FB">
        <w:rPr>
          <w:rFonts w:ascii="仿宋_GB2312" w:eastAsia="宋体" w:hAnsi="仿宋_GB2312" w:cs="Times New Roman"/>
          <w:sz w:val="32"/>
          <w:szCs w:val="32"/>
        </w:rPr>
        <w:t>。</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sz w:val="32"/>
          <w:szCs w:val="32"/>
        </w:rPr>
        <w:t>按照支出性质分类：基本支出</w:t>
      </w:r>
      <w:r w:rsidRPr="000F23FB">
        <w:rPr>
          <w:rFonts w:ascii="仿宋_GB2312" w:eastAsia="宋体" w:hAnsi="仿宋_GB2312" w:cs="Times New Roman"/>
          <w:sz w:val="32"/>
          <w:szCs w:val="32"/>
        </w:rPr>
        <w:t xml:space="preserve"> 687.52 </w:t>
      </w:r>
      <w:r w:rsidRPr="000F23FB">
        <w:rPr>
          <w:rFonts w:ascii="仿宋_GB2312" w:eastAsia="宋体" w:hAnsi="仿宋_GB2312" w:cs="Times New Roman"/>
          <w:sz w:val="32"/>
          <w:szCs w:val="32"/>
        </w:rPr>
        <w:t>万元，占总支出</w:t>
      </w:r>
      <w:r w:rsidRPr="000F23FB">
        <w:rPr>
          <w:rFonts w:ascii="仿宋_GB2312" w:eastAsia="宋体" w:hAnsi="仿宋_GB2312" w:cs="Times New Roman"/>
          <w:sz w:val="32"/>
          <w:szCs w:val="32"/>
        </w:rPr>
        <w:t xml:space="preserve"> 85.2%</w:t>
      </w:r>
      <w:r w:rsidRPr="000F23FB">
        <w:rPr>
          <w:rFonts w:ascii="仿宋_GB2312" w:eastAsia="宋体" w:hAnsi="仿宋_GB2312" w:cs="Times New Roman"/>
          <w:sz w:val="32"/>
          <w:szCs w:val="32"/>
        </w:rPr>
        <w:t>；项目支出</w:t>
      </w:r>
      <w:r w:rsidRPr="000F23FB">
        <w:rPr>
          <w:rFonts w:ascii="仿宋_GB2312" w:eastAsia="宋体" w:hAnsi="仿宋_GB2312" w:cs="Times New Roman"/>
          <w:sz w:val="32"/>
          <w:szCs w:val="32"/>
        </w:rPr>
        <w:t>119.57</w:t>
      </w:r>
      <w:r w:rsidRPr="000F23FB">
        <w:rPr>
          <w:rFonts w:ascii="仿宋_GB2312" w:eastAsia="宋体" w:hAnsi="仿宋_GB2312" w:cs="Times New Roman"/>
          <w:sz w:val="32"/>
          <w:szCs w:val="32"/>
        </w:rPr>
        <w:t>万元，占总支出</w:t>
      </w:r>
      <w:r w:rsidRPr="000F23FB">
        <w:rPr>
          <w:rFonts w:ascii="仿宋_GB2312" w:eastAsia="宋体" w:hAnsi="仿宋_GB2312" w:cs="Times New Roman"/>
          <w:sz w:val="32"/>
          <w:szCs w:val="32"/>
        </w:rPr>
        <w:t>14.8%</w:t>
      </w:r>
      <w:r w:rsidRPr="000F23FB">
        <w:rPr>
          <w:rFonts w:ascii="仿宋_GB2312" w:eastAsia="宋体" w:hAnsi="仿宋_GB2312" w:cs="Times New Roman"/>
          <w:sz w:val="32"/>
          <w:szCs w:val="32"/>
        </w:rPr>
        <w:t>。</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sz w:val="32"/>
          <w:szCs w:val="32"/>
        </w:rPr>
        <w:t>按照支出功能分类：社会保障和就业（类）支出</w:t>
      </w:r>
      <w:r w:rsidRPr="000F23FB">
        <w:rPr>
          <w:rFonts w:ascii="仿宋_GB2312" w:eastAsia="宋体" w:hAnsi="仿宋_GB2312" w:cs="Times New Roman"/>
          <w:sz w:val="32"/>
          <w:szCs w:val="32"/>
        </w:rPr>
        <w:t>32.13</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4.0 %</w:t>
      </w:r>
      <w:r w:rsidRPr="000F23FB">
        <w:rPr>
          <w:rFonts w:ascii="仿宋_GB2312" w:eastAsia="宋体" w:hAnsi="仿宋_GB2312" w:cs="Times New Roman"/>
          <w:sz w:val="32"/>
          <w:szCs w:val="32"/>
        </w:rPr>
        <w:t>；年初预算为</w:t>
      </w:r>
      <w:r w:rsidRPr="000F23FB">
        <w:rPr>
          <w:rFonts w:ascii="仿宋_GB2312" w:eastAsia="宋体" w:hAnsi="仿宋_GB2312" w:cs="Times New Roman"/>
          <w:sz w:val="32"/>
          <w:szCs w:val="32"/>
        </w:rPr>
        <w:t>42.5</w:t>
      </w:r>
      <w:r w:rsidRPr="000F23FB">
        <w:rPr>
          <w:rFonts w:ascii="仿宋_GB2312" w:eastAsia="宋体" w:hAnsi="仿宋_GB2312" w:cs="Times New Roman"/>
          <w:sz w:val="32"/>
          <w:szCs w:val="32"/>
        </w:rPr>
        <w:t>万元，完成年初预算的</w:t>
      </w:r>
      <w:r w:rsidRPr="000F23FB">
        <w:rPr>
          <w:rFonts w:ascii="仿宋_GB2312" w:eastAsia="宋体" w:hAnsi="仿宋_GB2312" w:cs="Times New Roman"/>
          <w:sz w:val="32"/>
          <w:szCs w:val="32"/>
        </w:rPr>
        <w:t>76%</w:t>
      </w:r>
      <w:r w:rsidRPr="000F23FB">
        <w:rPr>
          <w:rFonts w:ascii="仿宋_GB2312" w:eastAsia="宋体" w:hAnsi="仿宋_GB2312" w:cs="Times New Roman"/>
          <w:sz w:val="32"/>
          <w:szCs w:val="32"/>
        </w:rPr>
        <w:t>。决算数小于预算数的主要原因是全额退休人员工资，由机关事业保险养老保险承担一部分；医疗卫生与计划生育（类）支出</w:t>
      </w:r>
      <w:r w:rsidRPr="000F23FB">
        <w:rPr>
          <w:rFonts w:ascii="仿宋_GB2312" w:eastAsia="宋体" w:hAnsi="仿宋_GB2312" w:cs="Times New Roman"/>
          <w:sz w:val="32"/>
          <w:szCs w:val="32"/>
        </w:rPr>
        <w:t xml:space="preserve">19.95 </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2.5%</w:t>
      </w:r>
      <w:r w:rsidRPr="000F23FB">
        <w:rPr>
          <w:rFonts w:ascii="仿宋_GB2312" w:eastAsia="宋体" w:hAnsi="仿宋_GB2312" w:cs="Times New Roman"/>
          <w:sz w:val="32"/>
          <w:szCs w:val="32"/>
        </w:rPr>
        <w:t>；年初预算为</w:t>
      </w:r>
      <w:r w:rsidRPr="000F23FB">
        <w:rPr>
          <w:rFonts w:ascii="仿宋_GB2312" w:eastAsia="宋体" w:hAnsi="仿宋_GB2312" w:cs="Times New Roman"/>
          <w:sz w:val="32"/>
          <w:szCs w:val="32"/>
        </w:rPr>
        <w:t>20</w:t>
      </w:r>
      <w:r w:rsidRPr="000F23FB">
        <w:rPr>
          <w:rFonts w:ascii="仿宋_GB2312" w:eastAsia="宋体" w:hAnsi="仿宋_GB2312" w:cs="Times New Roman"/>
          <w:sz w:val="32"/>
          <w:szCs w:val="32"/>
        </w:rPr>
        <w:t>万元，完成年初预算的</w:t>
      </w:r>
      <w:r w:rsidRPr="000F23FB">
        <w:rPr>
          <w:rFonts w:ascii="仿宋_GB2312" w:eastAsia="宋体" w:hAnsi="仿宋_GB2312" w:cs="Times New Roman"/>
          <w:sz w:val="32"/>
          <w:szCs w:val="32"/>
        </w:rPr>
        <w:t xml:space="preserve"> 98%</w:t>
      </w:r>
      <w:r w:rsidRPr="000F23FB">
        <w:rPr>
          <w:rFonts w:ascii="仿宋_GB2312" w:eastAsia="宋体" w:hAnsi="仿宋_GB2312" w:cs="Times New Roman"/>
          <w:sz w:val="32"/>
          <w:szCs w:val="32"/>
        </w:rPr>
        <w:t>。决算数小于预算数的主要原因是年初做预算时取的整数（万位）。</w:t>
      </w:r>
      <w:r w:rsidRPr="000F23FB">
        <w:rPr>
          <w:rFonts w:ascii="仿宋_GB2312" w:eastAsia="宋体" w:hAnsi="仿宋_GB2312" w:cs="Times New Roman"/>
          <w:sz w:val="32"/>
          <w:szCs w:val="32"/>
        </w:rPr>
        <w:t xml:space="preserve"> </w:t>
      </w:r>
      <w:r w:rsidRPr="000F23FB">
        <w:rPr>
          <w:rFonts w:ascii="仿宋_GB2312" w:eastAsia="宋体" w:hAnsi="仿宋_GB2312" w:cs="Times New Roman"/>
          <w:sz w:val="32"/>
          <w:szCs w:val="32"/>
        </w:rPr>
        <w:t>住房保障（类）支出</w:t>
      </w:r>
      <w:r w:rsidRPr="000F23FB">
        <w:rPr>
          <w:rFonts w:ascii="仿宋_GB2312" w:eastAsia="宋体" w:hAnsi="仿宋_GB2312" w:cs="Times New Roman"/>
          <w:sz w:val="32"/>
          <w:szCs w:val="32"/>
        </w:rPr>
        <w:t xml:space="preserve">755.01 </w:t>
      </w:r>
      <w:r w:rsidRPr="000F23FB">
        <w:rPr>
          <w:rFonts w:ascii="仿宋_GB2312" w:eastAsia="宋体" w:hAnsi="仿宋_GB2312" w:cs="Times New Roman"/>
          <w:sz w:val="32"/>
          <w:szCs w:val="32"/>
        </w:rPr>
        <w:t>万元，占</w:t>
      </w:r>
      <w:r w:rsidRPr="000F23FB">
        <w:rPr>
          <w:rFonts w:ascii="仿宋_GB2312" w:eastAsia="宋体" w:hAnsi="仿宋_GB2312" w:cs="Times New Roman"/>
          <w:sz w:val="32"/>
          <w:szCs w:val="32"/>
        </w:rPr>
        <w:t>93.5%</w:t>
      </w:r>
      <w:r w:rsidRPr="000F23FB">
        <w:rPr>
          <w:rFonts w:ascii="仿宋_GB2312" w:eastAsia="宋体" w:hAnsi="仿宋_GB2312" w:cs="Times New Roman"/>
          <w:sz w:val="32"/>
          <w:szCs w:val="32"/>
        </w:rPr>
        <w:t>；年初预算为</w:t>
      </w:r>
      <w:r w:rsidRPr="000F23FB">
        <w:rPr>
          <w:rFonts w:ascii="仿宋_GB2312" w:eastAsia="宋体" w:hAnsi="仿宋_GB2312" w:cs="Times New Roman"/>
          <w:sz w:val="32"/>
          <w:szCs w:val="32"/>
        </w:rPr>
        <w:t>903.6</w:t>
      </w:r>
      <w:r w:rsidRPr="000F23FB">
        <w:rPr>
          <w:rFonts w:ascii="仿宋_GB2312" w:eastAsia="宋体" w:hAnsi="仿宋_GB2312" w:cs="Times New Roman"/>
          <w:sz w:val="32"/>
          <w:szCs w:val="32"/>
        </w:rPr>
        <w:t>万元，完成年初预算的</w:t>
      </w:r>
      <w:r w:rsidRPr="000F23FB">
        <w:rPr>
          <w:rFonts w:ascii="仿宋_GB2312" w:eastAsia="宋体" w:hAnsi="仿宋_GB2312" w:cs="Times New Roman"/>
          <w:sz w:val="32"/>
          <w:szCs w:val="32"/>
        </w:rPr>
        <w:t xml:space="preserve"> 84%</w:t>
      </w:r>
      <w:r w:rsidRPr="000F23FB">
        <w:rPr>
          <w:rFonts w:ascii="仿宋_GB2312" w:eastAsia="宋体" w:hAnsi="仿宋_GB2312" w:cs="Times New Roman"/>
          <w:sz w:val="32"/>
          <w:szCs w:val="32"/>
        </w:rPr>
        <w:t>。决算数小于预算数的主要原因是不包括全额拨款部分。</w:t>
      </w:r>
    </w:p>
    <w:p w:rsidR="000F23FB" w:rsidRPr="000F23FB" w:rsidRDefault="000F23FB" w:rsidP="000F23FB">
      <w:pPr>
        <w:keepNext/>
        <w:keepLines/>
        <w:spacing w:line="412" w:lineRule="auto"/>
        <w:jc w:val="center"/>
        <w:outlineLvl w:val="1"/>
        <w:rPr>
          <w:rFonts w:ascii="黑体" w:eastAsia="黑体" w:hAnsi="黑体" w:cs="Arial"/>
          <w:sz w:val="32"/>
          <w:szCs w:val="32"/>
        </w:rPr>
      </w:pPr>
      <w:bookmarkStart w:id="24" w:name="_Toc354"/>
      <w:bookmarkEnd w:id="24"/>
      <w:r w:rsidRPr="000F23FB">
        <w:rPr>
          <w:rFonts w:ascii="黑体" w:eastAsia="黑体" w:hAnsi="黑体" w:cs="Arial" w:hint="eastAsia"/>
          <w:sz w:val="32"/>
          <w:szCs w:val="32"/>
        </w:rPr>
        <w:lastRenderedPageBreak/>
        <w:t>三、政府性基金预算财政拨款收入支出情况说明</w:t>
      </w:r>
    </w:p>
    <w:p w:rsidR="000F23FB" w:rsidRPr="000F23FB" w:rsidRDefault="000F23FB" w:rsidP="000F23FB">
      <w:pPr>
        <w:autoSpaceDE w:val="0"/>
        <w:spacing w:line="560" w:lineRule="exact"/>
        <w:rPr>
          <w:rFonts w:ascii="仿宋_GB2312" w:eastAsia="宋体" w:hAnsi="仿宋_GB2312" w:cs="Times New Roman" w:hint="eastAsia"/>
          <w:b/>
          <w:bCs/>
          <w:sz w:val="32"/>
          <w:szCs w:val="32"/>
        </w:rPr>
      </w:pPr>
      <w:r w:rsidRPr="000F23FB">
        <w:rPr>
          <w:rFonts w:ascii="仿宋_GB2312" w:eastAsia="宋体" w:hAnsi="仿宋_GB2312" w:cs="Times New Roman"/>
          <w:b/>
          <w:bCs/>
          <w:sz w:val="32"/>
          <w:szCs w:val="32"/>
        </w:rPr>
        <w:t>双鸭山市住房公积金管理中心</w:t>
      </w:r>
      <w:r w:rsidRPr="000F23FB">
        <w:rPr>
          <w:rFonts w:ascii="仿宋_GB2312" w:eastAsia="宋体" w:hAnsi="仿宋_GB2312" w:cs="Times New Roman"/>
          <w:b/>
          <w:bCs/>
          <w:sz w:val="32"/>
          <w:szCs w:val="32"/>
        </w:rPr>
        <w:t>2018</w:t>
      </w:r>
      <w:r w:rsidRPr="000F23FB">
        <w:rPr>
          <w:rFonts w:ascii="仿宋_GB2312" w:eastAsia="宋体" w:hAnsi="仿宋_GB2312" w:cs="Times New Roman"/>
          <w:b/>
          <w:bCs/>
          <w:sz w:val="32"/>
          <w:szCs w:val="32"/>
        </w:rPr>
        <w:t>年度无政府性基金预算财政拨款收入支出。</w:t>
      </w:r>
    </w:p>
    <w:p w:rsidR="000F23FB" w:rsidRPr="000F23FB" w:rsidRDefault="000F23FB" w:rsidP="000F23FB">
      <w:pPr>
        <w:keepNext/>
        <w:keepLines/>
        <w:spacing w:line="412" w:lineRule="auto"/>
        <w:outlineLvl w:val="1"/>
        <w:rPr>
          <w:rFonts w:ascii="黑体" w:eastAsia="黑体" w:hAnsi="黑体" w:cs="Arial"/>
          <w:sz w:val="32"/>
          <w:szCs w:val="32"/>
        </w:rPr>
      </w:pPr>
      <w:bookmarkStart w:id="25" w:name="_Toc29347"/>
      <w:bookmarkEnd w:id="25"/>
      <w:r w:rsidRPr="000F23FB">
        <w:rPr>
          <w:rFonts w:ascii="黑体" w:eastAsia="黑体" w:hAnsi="黑体" w:cs="Arial" w:hint="eastAsia"/>
          <w:sz w:val="32"/>
          <w:szCs w:val="32"/>
        </w:rPr>
        <w:t>四、一般公共预算财政拨款“三公”经费支出情况说明</w:t>
      </w:r>
    </w:p>
    <w:p w:rsidR="000F23FB" w:rsidRPr="000F23FB" w:rsidRDefault="000F23FB" w:rsidP="000F23FB">
      <w:pPr>
        <w:autoSpaceDE w:val="0"/>
        <w:spacing w:line="560" w:lineRule="exact"/>
        <w:rPr>
          <w:rFonts w:ascii="仿宋_GB2312" w:eastAsia="宋体" w:hAnsi="仿宋_GB2312" w:cs="Times New Roman" w:hint="eastAsia"/>
          <w:b/>
          <w:bCs/>
          <w:sz w:val="32"/>
          <w:szCs w:val="32"/>
        </w:rPr>
      </w:pPr>
      <w:r w:rsidRPr="000F23FB">
        <w:rPr>
          <w:rFonts w:ascii="仿宋_GB2312" w:eastAsia="宋体" w:hAnsi="仿宋_GB2312" w:cs="Times New Roman"/>
          <w:b/>
          <w:bCs/>
          <w:sz w:val="32"/>
          <w:szCs w:val="32"/>
        </w:rPr>
        <w:t>（一）</w:t>
      </w:r>
      <w:r w:rsidRPr="000F23FB">
        <w:rPr>
          <w:rFonts w:ascii="仿宋_GB2312" w:eastAsia="宋体" w:hAnsi="仿宋_GB2312" w:cs="Times New Roman"/>
          <w:b/>
          <w:bCs/>
          <w:sz w:val="32"/>
          <w:szCs w:val="32"/>
        </w:rPr>
        <w:t>“</w:t>
      </w:r>
      <w:r w:rsidRPr="000F23FB">
        <w:rPr>
          <w:rFonts w:ascii="仿宋_GB2312" w:eastAsia="宋体" w:hAnsi="仿宋_GB2312" w:cs="Times New Roman"/>
          <w:b/>
          <w:bCs/>
          <w:sz w:val="32"/>
          <w:szCs w:val="32"/>
        </w:rPr>
        <w:t>三公</w:t>
      </w:r>
      <w:r w:rsidRPr="000F23FB">
        <w:rPr>
          <w:rFonts w:ascii="仿宋_GB2312" w:eastAsia="宋体" w:hAnsi="仿宋_GB2312" w:cs="Times New Roman"/>
          <w:b/>
          <w:bCs/>
          <w:sz w:val="32"/>
          <w:szCs w:val="32"/>
        </w:rPr>
        <w:t>”</w:t>
      </w:r>
      <w:r w:rsidRPr="000F23FB">
        <w:rPr>
          <w:rFonts w:ascii="仿宋_GB2312" w:eastAsia="宋体" w:hAnsi="仿宋_GB2312" w:cs="Times New Roman"/>
          <w:b/>
          <w:bCs/>
          <w:sz w:val="32"/>
          <w:szCs w:val="32"/>
        </w:rPr>
        <w:t>经费财政拨款支出决算总体情况说明。</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sz w:val="32"/>
          <w:szCs w:val="32"/>
        </w:rPr>
        <w:t>双鸭山市住房公积金管理中心认真贯彻落实中央</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八项规定</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精神和厉行节约要求，从严控制</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三公</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经费开支，</w:t>
      </w:r>
      <w:r w:rsidRPr="000F23FB">
        <w:rPr>
          <w:rFonts w:ascii="仿宋_GB2312" w:eastAsia="宋体" w:hAnsi="仿宋_GB2312" w:cs="Times New Roman"/>
          <w:sz w:val="32"/>
          <w:szCs w:val="32"/>
        </w:rPr>
        <w:t>2018</w:t>
      </w:r>
      <w:r w:rsidRPr="000F23FB">
        <w:rPr>
          <w:rFonts w:ascii="仿宋_GB2312" w:eastAsia="宋体" w:hAnsi="仿宋_GB2312" w:cs="Times New Roman"/>
          <w:sz w:val="32"/>
          <w:szCs w:val="32"/>
        </w:rPr>
        <w:t>年度</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三公</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经费财政拨款支出</w:t>
      </w:r>
      <w:r w:rsidRPr="000F23FB">
        <w:rPr>
          <w:rFonts w:ascii="仿宋_GB2312" w:eastAsia="宋体" w:hAnsi="仿宋_GB2312" w:cs="Times New Roman"/>
          <w:sz w:val="32"/>
          <w:szCs w:val="32"/>
        </w:rPr>
        <w:t>6</w:t>
      </w:r>
      <w:r w:rsidRPr="000F23FB">
        <w:rPr>
          <w:rFonts w:ascii="仿宋_GB2312" w:eastAsia="宋体" w:hAnsi="仿宋_GB2312" w:cs="Times New Roman"/>
          <w:sz w:val="32"/>
          <w:szCs w:val="32"/>
        </w:rPr>
        <w:t>万元，与</w:t>
      </w:r>
      <w:r w:rsidRPr="000F23FB">
        <w:rPr>
          <w:rFonts w:ascii="仿宋_GB2312" w:eastAsia="宋体" w:hAnsi="仿宋_GB2312" w:cs="Times New Roman"/>
          <w:sz w:val="32"/>
          <w:szCs w:val="32"/>
        </w:rPr>
        <w:t>2017</w:t>
      </w:r>
      <w:r w:rsidRPr="000F23FB">
        <w:rPr>
          <w:rFonts w:ascii="仿宋_GB2312" w:eastAsia="宋体" w:hAnsi="仿宋_GB2312" w:cs="Times New Roman"/>
          <w:sz w:val="32"/>
          <w:szCs w:val="32"/>
        </w:rPr>
        <w:t>年持平。年初预算为</w:t>
      </w:r>
      <w:r w:rsidRPr="000F23FB">
        <w:rPr>
          <w:rFonts w:ascii="仿宋_GB2312" w:eastAsia="宋体" w:hAnsi="仿宋_GB2312" w:cs="Times New Roman"/>
          <w:sz w:val="32"/>
          <w:szCs w:val="32"/>
        </w:rPr>
        <w:t xml:space="preserve"> 6</w:t>
      </w:r>
      <w:r w:rsidRPr="000F23FB">
        <w:rPr>
          <w:rFonts w:ascii="仿宋_GB2312" w:eastAsia="宋体" w:hAnsi="仿宋_GB2312" w:cs="Times New Roman"/>
          <w:sz w:val="32"/>
          <w:szCs w:val="32"/>
        </w:rPr>
        <w:t>万元，完成年初预算的</w:t>
      </w:r>
      <w:r w:rsidRPr="000F23FB">
        <w:rPr>
          <w:rFonts w:ascii="仿宋_GB2312" w:eastAsia="宋体" w:hAnsi="仿宋_GB2312" w:cs="Times New Roman"/>
          <w:sz w:val="32"/>
          <w:szCs w:val="32"/>
        </w:rPr>
        <w:t xml:space="preserve"> 100 %</w:t>
      </w:r>
      <w:r w:rsidRPr="000F23FB">
        <w:rPr>
          <w:rFonts w:ascii="仿宋_GB2312" w:eastAsia="宋体" w:hAnsi="仿宋_GB2312" w:cs="Times New Roman"/>
          <w:sz w:val="32"/>
          <w:szCs w:val="32"/>
        </w:rPr>
        <w:t>。</w:t>
      </w:r>
    </w:p>
    <w:p w:rsidR="000F23FB" w:rsidRPr="000F23FB" w:rsidRDefault="000F23FB" w:rsidP="000F23FB">
      <w:pPr>
        <w:numPr>
          <w:ilvl w:val="0"/>
          <w:numId w:val="2"/>
        </w:numPr>
        <w:autoSpaceDE w:val="0"/>
        <w:spacing w:line="560" w:lineRule="exact"/>
        <w:ind w:firstLine="643"/>
        <w:rPr>
          <w:rFonts w:ascii="仿宋_GB2312" w:eastAsia="宋体" w:hAnsi="仿宋_GB2312" w:cs="Times New Roman"/>
          <w:b/>
          <w:bCs/>
          <w:sz w:val="32"/>
          <w:szCs w:val="32"/>
        </w:rPr>
      </w:pPr>
      <w:r w:rsidRPr="000F23FB">
        <w:rPr>
          <w:rFonts w:ascii="仿宋_GB2312" w:eastAsia="宋体" w:hAnsi="仿宋_GB2312" w:cs="Times New Roman"/>
          <w:b/>
          <w:bCs/>
          <w:sz w:val="32"/>
          <w:szCs w:val="32"/>
        </w:rPr>
        <w:t>“</w:t>
      </w:r>
      <w:r w:rsidRPr="000F23FB">
        <w:rPr>
          <w:rFonts w:ascii="仿宋_GB2312" w:eastAsia="宋体" w:hAnsi="仿宋_GB2312" w:cs="Times New Roman"/>
          <w:b/>
          <w:bCs/>
          <w:sz w:val="32"/>
          <w:szCs w:val="32"/>
        </w:rPr>
        <w:t>三公</w:t>
      </w:r>
      <w:r w:rsidRPr="000F23FB">
        <w:rPr>
          <w:rFonts w:ascii="仿宋_GB2312" w:eastAsia="宋体" w:hAnsi="仿宋_GB2312" w:cs="Times New Roman"/>
          <w:b/>
          <w:bCs/>
          <w:sz w:val="32"/>
          <w:szCs w:val="32"/>
        </w:rPr>
        <w:t>”</w:t>
      </w:r>
      <w:r w:rsidRPr="000F23FB">
        <w:rPr>
          <w:rFonts w:ascii="仿宋_GB2312" w:eastAsia="宋体" w:hAnsi="仿宋_GB2312" w:cs="Times New Roman"/>
          <w:b/>
          <w:bCs/>
          <w:sz w:val="32"/>
          <w:szCs w:val="32"/>
        </w:rPr>
        <w:t>经费财政拨款支出决算具体情况说明。</w:t>
      </w:r>
    </w:p>
    <w:p w:rsidR="000F23FB" w:rsidRPr="000F23FB" w:rsidRDefault="000F23FB" w:rsidP="000F23FB">
      <w:pPr>
        <w:autoSpaceDE w:val="0"/>
        <w:spacing w:line="560" w:lineRule="exact"/>
        <w:rPr>
          <w:rFonts w:ascii="仿宋_GB2312" w:eastAsia="宋体" w:hAnsi="仿宋_GB2312" w:cs="Times New Roman"/>
          <w:b/>
          <w:bCs/>
          <w:sz w:val="32"/>
          <w:szCs w:val="32"/>
        </w:rPr>
      </w:pPr>
      <w:r w:rsidRPr="000F23FB">
        <w:rPr>
          <w:rFonts w:ascii="仿宋_GB2312" w:eastAsia="宋体" w:hAnsi="仿宋_GB2312" w:cs="Times New Roman"/>
          <w:sz w:val="32"/>
          <w:szCs w:val="32"/>
        </w:rPr>
        <w:t>1.</w:t>
      </w:r>
      <w:r w:rsidRPr="000F23FB">
        <w:rPr>
          <w:rFonts w:ascii="仿宋_GB2312" w:eastAsia="宋体" w:hAnsi="仿宋_GB2312" w:cs="Times New Roman"/>
          <w:sz w:val="32"/>
          <w:szCs w:val="32"/>
        </w:rPr>
        <w:t>因公出国（境）支出</w:t>
      </w:r>
      <w:r w:rsidRPr="000F23FB">
        <w:rPr>
          <w:rFonts w:ascii="仿宋_GB2312" w:eastAsia="宋体" w:hAnsi="仿宋_GB2312" w:cs="Times New Roman"/>
          <w:sz w:val="32"/>
          <w:szCs w:val="32"/>
        </w:rPr>
        <w:t xml:space="preserve"> 0</w:t>
      </w:r>
      <w:r w:rsidRPr="000F23FB">
        <w:rPr>
          <w:rFonts w:ascii="仿宋_GB2312" w:eastAsia="宋体" w:hAnsi="仿宋_GB2312" w:cs="Times New Roman"/>
          <w:sz w:val="32"/>
          <w:szCs w:val="32"/>
        </w:rPr>
        <w:t>万元，因公出国（境）团组数</w:t>
      </w:r>
      <w:r w:rsidRPr="000F23FB">
        <w:rPr>
          <w:rFonts w:ascii="仿宋_GB2312" w:eastAsia="宋体" w:hAnsi="仿宋_GB2312" w:cs="Times New Roman"/>
          <w:sz w:val="32"/>
          <w:szCs w:val="32"/>
        </w:rPr>
        <w:t xml:space="preserve"> 0 </w:t>
      </w:r>
      <w:proofErr w:type="gramStart"/>
      <w:r w:rsidRPr="000F23FB">
        <w:rPr>
          <w:rFonts w:ascii="仿宋_GB2312" w:eastAsia="宋体" w:hAnsi="仿宋_GB2312" w:cs="Times New Roman"/>
          <w:sz w:val="32"/>
          <w:szCs w:val="32"/>
        </w:rPr>
        <w:t>个</w:t>
      </w:r>
      <w:proofErr w:type="gramEnd"/>
      <w:r w:rsidRPr="000F23FB">
        <w:rPr>
          <w:rFonts w:ascii="仿宋_GB2312" w:eastAsia="宋体" w:hAnsi="仿宋_GB2312" w:cs="Times New Roman"/>
          <w:sz w:val="32"/>
          <w:szCs w:val="32"/>
        </w:rPr>
        <w:t>，人次数</w:t>
      </w:r>
      <w:r w:rsidRPr="000F23FB">
        <w:rPr>
          <w:rFonts w:ascii="仿宋_GB2312" w:eastAsia="宋体" w:hAnsi="仿宋_GB2312" w:cs="Times New Roman"/>
          <w:sz w:val="32"/>
          <w:szCs w:val="32"/>
        </w:rPr>
        <w:t xml:space="preserve"> 0</w:t>
      </w:r>
      <w:r w:rsidRPr="000F23FB">
        <w:rPr>
          <w:rFonts w:ascii="仿宋_GB2312" w:eastAsia="宋体" w:hAnsi="仿宋_GB2312" w:cs="Times New Roman"/>
          <w:sz w:val="32"/>
          <w:szCs w:val="32"/>
        </w:rPr>
        <w:t>人，无变化的主要原因是</w:t>
      </w:r>
      <w:r w:rsidRPr="000F23FB">
        <w:rPr>
          <w:rFonts w:ascii="仿宋_GB2312" w:eastAsia="宋体" w:hAnsi="仿宋_GB2312" w:cs="Times New Roman"/>
          <w:sz w:val="32"/>
          <w:szCs w:val="32"/>
        </w:rPr>
        <w:t>2018</w:t>
      </w:r>
      <w:r w:rsidRPr="000F23FB">
        <w:rPr>
          <w:rFonts w:ascii="仿宋_GB2312" w:eastAsia="宋体" w:hAnsi="仿宋_GB2312" w:cs="Times New Roman"/>
          <w:sz w:val="32"/>
          <w:szCs w:val="32"/>
        </w:rPr>
        <w:t>年度本单位无因公出国（境）支出。</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sz w:val="32"/>
          <w:szCs w:val="32"/>
        </w:rPr>
        <w:t>2.</w:t>
      </w:r>
      <w:r w:rsidRPr="000F23FB">
        <w:rPr>
          <w:rFonts w:ascii="仿宋_GB2312" w:eastAsia="宋体" w:hAnsi="仿宋_GB2312" w:cs="Times New Roman"/>
          <w:sz w:val="32"/>
          <w:szCs w:val="32"/>
        </w:rPr>
        <w:t>公务用车购置及运行维护费支出</w:t>
      </w:r>
      <w:r w:rsidRPr="000F23FB">
        <w:rPr>
          <w:rFonts w:ascii="仿宋_GB2312" w:eastAsia="宋体" w:hAnsi="仿宋_GB2312" w:cs="Times New Roman"/>
          <w:sz w:val="32"/>
          <w:szCs w:val="32"/>
        </w:rPr>
        <w:t xml:space="preserve"> 6</w:t>
      </w:r>
      <w:r w:rsidRPr="000F23FB">
        <w:rPr>
          <w:rFonts w:ascii="仿宋_GB2312" w:eastAsia="宋体" w:hAnsi="仿宋_GB2312" w:cs="Times New Roman"/>
          <w:sz w:val="32"/>
          <w:szCs w:val="32"/>
        </w:rPr>
        <w:t>万元，与年初预算数持平，与上年决算持平，其中：公务用车购置支出</w:t>
      </w:r>
      <w:r w:rsidRPr="000F23FB">
        <w:rPr>
          <w:rFonts w:ascii="仿宋_GB2312" w:eastAsia="宋体" w:hAnsi="仿宋_GB2312" w:cs="Times New Roman"/>
          <w:sz w:val="32"/>
          <w:szCs w:val="32"/>
        </w:rPr>
        <w:t>0</w:t>
      </w:r>
      <w:r w:rsidRPr="000F23FB">
        <w:rPr>
          <w:rFonts w:ascii="仿宋_GB2312" w:eastAsia="宋体" w:hAnsi="仿宋_GB2312" w:cs="Times New Roman"/>
          <w:sz w:val="32"/>
          <w:szCs w:val="32"/>
        </w:rPr>
        <w:t>万元，公务用车运行支出</w:t>
      </w:r>
      <w:r w:rsidRPr="000F23FB">
        <w:rPr>
          <w:rFonts w:ascii="仿宋_GB2312" w:eastAsia="宋体" w:hAnsi="仿宋_GB2312" w:cs="Times New Roman"/>
          <w:sz w:val="32"/>
          <w:szCs w:val="32"/>
        </w:rPr>
        <w:t>6</w:t>
      </w:r>
      <w:r w:rsidRPr="000F23FB">
        <w:rPr>
          <w:rFonts w:ascii="仿宋_GB2312" w:eastAsia="宋体" w:hAnsi="仿宋_GB2312" w:cs="Times New Roman"/>
          <w:sz w:val="32"/>
          <w:szCs w:val="32"/>
        </w:rPr>
        <w:t>万元，与</w:t>
      </w:r>
      <w:r w:rsidRPr="000F23FB">
        <w:rPr>
          <w:rFonts w:ascii="仿宋_GB2312" w:eastAsia="宋体" w:hAnsi="仿宋_GB2312" w:cs="Times New Roman"/>
          <w:sz w:val="32"/>
          <w:szCs w:val="32"/>
        </w:rPr>
        <w:t>2017</w:t>
      </w:r>
      <w:r w:rsidRPr="000F23FB">
        <w:rPr>
          <w:rFonts w:ascii="仿宋_GB2312" w:eastAsia="宋体" w:hAnsi="仿宋_GB2312" w:cs="Times New Roman"/>
          <w:sz w:val="32"/>
          <w:szCs w:val="32"/>
        </w:rPr>
        <w:t>年持平。与公务用车购置</w:t>
      </w:r>
      <w:r w:rsidRPr="000F23FB">
        <w:rPr>
          <w:rFonts w:ascii="仿宋_GB2312" w:eastAsia="宋体" w:hAnsi="仿宋_GB2312" w:cs="Times New Roman"/>
          <w:sz w:val="32"/>
          <w:szCs w:val="32"/>
        </w:rPr>
        <w:t xml:space="preserve">0 </w:t>
      </w:r>
      <w:r w:rsidRPr="000F23FB">
        <w:rPr>
          <w:rFonts w:ascii="仿宋_GB2312" w:eastAsia="宋体" w:hAnsi="仿宋_GB2312" w:cs="Times New Roman"/>
          <w:sz w:val="32"/>
          <w:szCs w:val="32"/>
        </w:rPr>
        <w:t>辆，公务用车保有</w:t>
      </w:r>
      <w:r w:rsidRPr="000F23FB">
        <w:rPr>
          <w:rFonts w:ascii="仿宋_GB2312" w:eastAsia="宋体" w:hAnsi="仿宋_GB2312" w:cs="Times New Roman"/>
          <w:sz w:val="32"/>
          <w:szCs w:val="32"/>
        </w:rPr>
        <w:t>2</w:t>
      </w:r>
      <w:r w:rsidRPr="000F23FB">
        <w:rPr>
          <w:rFonts w:ascii="仿宋_GB2312" w:eastAsia="宋体" w:hAnsi="仿宋_GB2312" w:cs="Times New Roman"/>
          <w:sz w:val="32"/>
          <w:szCs w:val="32"/>
        </w:rPr>
        <w:t>辆。。</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sz w:val="32"/>
          <w:szCs w:val="32"/>
        </w:rPr>
        <w:t>3.</w:t>
      </w:r>
      <w:r w:rsidRPr="000F23FB">
        <w:rPr>
          <w:rFonts w:ascii="仿宋_GB2312" w:eastAsia="宋体" w:hAnsi="仿宋_GB2312" w:cs="Times New Roman"/>
          <w:sz w:val="32"/>
          <w:szCs w:val="32"/>
        </w:rPr>
        <w:t>公务接待费支出</w:t>
      </w:r>
      <w:r w:rsidRPr="000F23FB">
        <w:rPr>
          <w:rFonts w:ascii="仿宋_GB2312" w:eastAsia="宋体" w:hAnsi="仿宋_GB2312" w:cs="Times New Roman"/>
          <w:sz w:val="32"/>
          <w:szCs w:val="32"/>
        </w:rPr>
        <w:t xml:space="preserve"> 0</w:t>
      </w:r>
      <w:r w:rsidRPr="000F23FB">
        <w:rPr>
          <w:rFonts w:ascii="仿宋_GB2312" w:eastAsia="宋体" w:hAnsi="仿宋_GB2312" w:cs="Times New Roman"/>
          <w:sz w:val="32"/>
          <w:szCs w:val="32"/>
        </w:rPr>
        <w:t>万元，其中</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国内公务接待</w:t>
      </w:r>
      <w:r w:rsidRPr="000F23FB">
        <w:rPr>
          <w:rFonts w:ascii="仿宋_GB2312" w:eastAsia="宋体" w:hAnsi="仿宋_GB2312" w:cs="Times New Roman"/>
          <w:sz w:val="32"/>
          <w:szCs w:val="32"/>
        </w:rPr>
        <w:t xml:space="preserve">0 </w:t>
      </w:r>
      <w:r w:rsidRPr="000F23FB">
        <w:rPr>
          <w:rFonts w:ascii="仿宋_GB2312" w:eastAsia="宋体" w:hAnsi="仿宋_GB2312" w:cs="Times New Roman"/>
          <w:sz w:val="32"/>
          <w:szCs w:val="32"/>
        </w:rPr>
        <w:t>批次，接待</w:t>
      </w:r>
      <w:r w:rsidRPr="000F23FB">
        <w:rPr>
          <w:rFonts w:ascii="仿宋_GB2312" w:eastAsia="宋体" w:hAnsi="仿宋_GB2312" w:cs="Times New Roman"/>
          <w:sz w:val="32"/>
          <w:szCs w:val="32"/>
        </w:rPr>
        <w:t xml:space="preserve"> 0 </w:t>
      </w:r>
      <w:r w:rsidRPr="000F23FB">
        <w:rPr>
          <w:rFonts w:ascii="仿宋_GB2312" w:eastAsia="宋体" w:hAnsi="仿宋_GB2312" w:cs="Times New Roman"/>
          <w:sz w:val="32"/>
          <w:szCs w:val="32"/>
        </w:rPr>
        <w:t>人，无变化的主要原因是</w:t>
      </w:r>
      <w:r w:rsidRPr="000F23FB">
        <w:rPr>
          <w:rFonts w:ascii="仿宋_GB2312" w:eastAsia="宋体" w:hAnsi="仿宋_GB2312" w:cs="Times New Roman"/>
          <w:sz w:val="32"/>
          <w:szCs w:val="32"/>
        </w:rPr>
        <w:t>2018</w:t>
      </w:r>
      <w:r w:rsidRPr="000F23FB">
        <w:rPr>
          <w:rFonts w:ascii="仿宋_GB2312" w:eastAsia="宋体" w:hAnsi="仿宋_GB2312" w:cs="Times New Roman"/>
          <w:sz w:val="32"/>
          <w:szCs w:val="32"/>
        </w:rPr>
        <w:t>年度本单位无公务接待费支出。</w:t>
      </w:r>
    </w:p>
    <w:p w:rsidR="000F23FB" w:rsidRPr="000F23FB" w:rsidRDefault="000F23FB" w:rsidP="000F23FB">
      <w:pPr>
        <w:keepNext/>
        <w:autoSpaceDE w:val="0"/>
        <w:spacing w:line="560" w:lineRule="exact"/>
        <w:outlineLvl w:val="1"/>
        <w:rPr>
          <w:rFonts w:ascii="黑体" w:eastAsia="黑体" w:hAnsi="黑体" w:cs="Arial"/>
          <w:sz w:val="32"/>
          <w:szCs w:val="32"/>
        </w:rPr>
      </w:pPr>
      <w:bookmarkStart w:id="26" w:name="_Toc655"/>
      <w:bookmarkEnd w:id="26"/>
      <w:r w:rsidRPr="000F23FB">
        <w:rPr>
          <w:rFonts w:ascii="黑体" w:eastAsia="黑体" w:hAnsi="黑体" w:cs="Arial" w:hint="eastAsia"/>
          <w:sz w:val="32"/>
          <w:szCs w:val="32"/>
        </w:rPr>
        <w:t>五、机关运行经费支出情况说明</w:t>
      </w:r>
    </w:p>
    <w:p w:rsidR="000F23FB" w:rsidRPr="000F23FB" w:rsidRDefault="000F23FB" w:rsidP="000F23FB">
      <w:pPr>
        <w:autoSpaceDE w:val="0"/>
        <w:spacing w:line="560" w:lineRule="exact"/>
        <w:rPr>
          <w:rFonts w:ascii="仿宋_GB2312" w:eastAsia="宋体" w:hAnsi="仿宋_GB2312" w:cs="Times New Roman" w:hint="eastAsia"/>
          <w:b/>
          <w:bCs/>
          <w:sz w:val="32"/>
          <w:szCs w:val="32"/>
        </w:rPr>
      </w:pPr>
      <w:r w:rsidRPr="000F23FB">
        <w:rPr>
          <w:rFonts w:ascii="仿宋_GB2312" w:eastAsia="宋体" w:hAnsi="仿宋_GB2312" w:cs="Times New Roman"/>
          <w:sz w:val="32"/>
          <w:szCs w:val="32"/>
        </w:rPr>
        <w:t>双鸭山市住房公积金管理中心</w:t>
      </w:r>
      <w:r w:rsidRPr="000F23FB">
        <w:rPr>
          <w:rFonts w:ascii="仿宋_GB2312" w:eastAsia="宋体" w:hAnsi="仿宋_GB2312" w:cs="Times New Roman"/>
          <w:sz w:val="32"/>
          <w:szCs w:val="32"/>
        </w:rPr>
        <w:t>2018</w:t>
      </w:r>
      <w:r w:rsidRPr="000F23FB">
        <w:rPr>
          <w:rFonts w:ascii="仿宋_GB2312" w:eastAsia="宋体" w:hAnsi="仿宋_GB2312" w:cs="Times New Roman"/>
          <w:sz w:val="32"/>
          <w:szCs w:val="32"/>
        </w:rPr>
        <w:t>年度</w:t>
      </w:r>
      <w:proofErr w:type="gramStart"/>
      <w:r w:rsidRPr="000F23FB">
        <w:rPr>
          <w:rFonts w:ascii="仿宋_GB2312" w:eastAsia="宋体" w:hAnsi="仿宋_GB2312" w:cs="Times New Roman"/>
          <w:sz w:val="32"/>
          <w:szCs w:val="32"/>
        </w:rPr>
        <w:t>无机关</w:t>
      </w:r>
      <w:proofErr w:type="gramEnd"/>
      <w:r w:rsidRPr="000F23FB">
        <w:rPr>
          <w:rFonts w:ascii="仿宋_GB2312" w:eastAsia="宋体" w:hAnsi="仿宋_GB2312" w:cs="Times New Roman"/>
          <w:sz w:val="32"/>
          <w:szCs w:val="32"/>
        </w:rPr>
        <w:t>运行经费支出。</w:t>
      </w:r>
      <w:r w:rsidRPr="000F23FB">
        <w:rPr>
          <w:rFonts w:ascii="仿宋_GB2312" w:eastAsia="宋体" w:hAnsi="仿宋_GB2312" w:cs="Times New Roman"/>
          <w:sz w:val="32"/>
          <w:szCs w:val="32"/>
        </w:rPr>
        <w:t xml:space="preserve">  </w:t>
      </w:r>
    </w:p>
    <w:p w:rsidR="000F23FB" w:rsidRPr="000F23FB" w:rsidRDefault="000F23FB" w:rsidP="000F23FB">
      <w:pPr>
        <w:keepNext/>
        <w:autoSpaceDE w:val="0"/>
        <w:spacing w:line="560" w:lineRule="exact"/>
        <w:outlineLvl w:val="1"/>
        <w:rPr>
          <w:rFonts w:ascii="黑体" w:eastAsia="黑体" w:hAnsi="黑体" w:cs="Arial"/>
          <w:sz w:val="32"/>
          <w:szCs w:val="32"/>
        </w:rPr>
      </w:pPr>
      <w:bookmarkStart w:id="27" w:name="_Toc21170"/>
      <w:bookmarkEnd w:id="27"/>
      <w:r w:rsidRPr="000F23FB">
        <w:rPr>
          <w:rFonts w:ascii="黑体" w:eastAsia="黑体" w:hAnsi="黑体" w:cs="Arial" w:hint="eastAsia"/>
          <w:sz w:val="32"/>
          <w:szCs w:val="32"/>
        </w:rPr>
        <w:lastRenderedPageBreak/>
        <w:t>六、国有资产占用情况说明</w:t>
      </w:r>
    </w:p>
    <w:p w:rsidR="000F23FB" w:rsidRPr="000F23FB" w:rsidRDefault="000F23FB" w:rsidP="000F23FB">
      <w:pPr>
        <w:autoSpaceDE w:val="0"/>
        <w:spacing w:line="560" w:lineRule="exact"/>
        <w:rPr>
          <w:rFonts w:ascii="仿宋_GB2312" w:eastAsia="宋体" w:hAnsi="仿宋_GB2312" w:cs="Times New Roman" w:hint="eastAsia"/>
          <w:sz w:val="32"/>
          <w:szCs w:val="32"/>
        </w:rPr>
      </w:pPr>
      <w:r w:rsidRPr="000F23FB">
        <w:rPr>
          <w:rFonts w:ascii="仿宋_GB2312" w:eastAsia="宋体" w:hAnsi="仿宋_GB2312" w:cs="Times New Roman"/>
          <w:sz w:val="32"/>
          <w:szCs w:val="32"/>
        </w:rPr>
        <w:t>截至</w:t>
      </w:r>
      <w:r w:rsidRPr="000F23FB">
        <w:rPr>
          <w:rFonts w:ascii="仿宋_GB2312" w:eastAsia="宋体" w:hAnsi="仿宋_GB2312" w:cs="Times New Roman"/>
          <w:sz w:val="32"/>
          <w:szCs w:val="32"/>
        </w:rPr>
        <w:t>2018</w:t>
      </w:r>
      <w:r w:rsidRPr="000F23FB">
        <w:rPr>
          <w:rFonts w:ascii="仿宋_GB2312" w:eastAsia="宋体" w:hAnsi="仿宋_GB2312" w:cs="Times New Roman"/>
          <w:sz w:val="32"/>
          <w:szCs w:val="32"/>
        </w:rPr>
        <w:t>年</w:t>
      </w:r>
      <w:r w:rsidRPr="000F23FB">
        <w:rPr>
          <w:rFonts w:ascii="仿宋_GB2312" w:eastAsia="宋体" w:hAnsi="仿宋_GB2312" w:cs="Times New Roman"/>
          <w:sz w:val="32"/>
          <w:szCs w:val="32"/>
        </w:rPr>
        <w:t>12</w:t>
      </w:r>
      <w:r w:rsidRPr="000F23FB">
        <w:rPr>
          <w:rFonts w:ascii="仿宋_GB2312" w:eastAsia="宋体" w:hAnsi="仿宋_GB2312" w:cs="Times New Roman"/>
          <w:sz w:val="32"/>
          <w:szCs w:val="32"/>
        </w:rPr>
        <w:t>月</w:t>
      </w:r>
      <w:r w:rsidRPr="000F23FB">
        <w:rPr>
          <w:rFonts w:ascii="仿宋_GB2312" w:eastAsia="宋体" w:hAnsi="仿宋_GB2312" w:cs="Times New Roman"/>
          <w:sz w:val="32"/>
          <w:szCs w:val="32"/>
        </w:rPr>
        <w:t>31</w:t>
      </w:r>
      <w:r w:rsidRPr="000F23FB">
        <w:rPr>
          <w:rFonts w:ascii="仿宋_GB2312" w:eastAsia="宋体" w:hAnsi="仿宋_GB2312" w:cs="Times New Roman"/>
          <w:sz w:val="32"/>
          <w:szCs w:val="32"/>
        </w:rPr>
        <w:t>日，双鸭山市住房公积金管理中心办公用房占有面积</w:t>
      </w:r>
      <w:r w:rsidRPr="000F23FB">
        <w:rPr>
          <w:rFonts w:ascii="仿宋_GB2312" w:eastAsia="宋体" w:hAnsi="仿宋_GB2312" w:cs="Times New Roman"/>
          <w:sz w:val="32"/>
          <w:szCs w:val="32"/>
        </w:rPr>
        <w:t>188.13</w:t>
      </w:r>
      <w:r w:rsidRPr="000F23FB">
        <w:rPr>
          <w:rFonts w:ascii="仿宋_GB2312" w:eastAsia="宋体" w:hAnsi="仿宋_GB2312" w:cs="Times New Roman"/>
          <w:sz w:val="32"/>
          <w:szCs w:val="32"/>
        </w:rPr>
        <w:t>平方米，房产价值</w:t>
      </w:r>
      <w:r w:rsidRPr="000F23FB">
        <w:rPr>
          <w:rFonts w:ascii="仿宋_GB2312" w:eastAsia="宋体" w:hAnsi="仿宋_GB2312" w:cs="Times New Roman"/>
          <w:sz w:val="32"/>
          <w:szCs w:val="32"/>
        </w:rPr>
        <w:t xml:space="preserve"> 48 </w:t>
      </w:r>
      <w:r w:rsidRPr="000F23FB">
        <w:rPr>
          <w:rFonts w:ascii="仿宋_GB2312" w:eastAsia="宋体" w:hAnsi="仿宋_GB2312" w:cs="Times New Roman"/>
          <w:sz w:val="32"/>
          <w:szCs w:val="32"/>
        </w:rPr>
        <w:t>万元。本部门共有车辆</w:t>
      </w:r>
      <w:r w:rsidRPr="000F23FB">
        <w:rPr>
          <w:rFonts w:ascii="仿宋_GB2312" w:eastAsia="宋体" w:hAnsi="仿宋_GB2312" w:cs="Times New Roman"/>
          <w:sz w:val="32"/>
          <w:szCs w:val="32"/>
        </w:rPr>
        <w:t>2</w:t>
      </w:r>
      <w:r w:rsidRPr="000F23FB">
        <w:rPr>
          <w:rFonts w:ascii="仿宋_GB2312" w:eastAsia="宋体" w:hAnsi="仿宋_GB2312" w:cs="Times New Roman"/>
          <w:sz w:val="32"/>
          <w:szCs w:val="32"/>
        </w:rPr>
        <w:t>辆，其中：主要领导干部用车</w:t>
      </w:r>
      <w:r w:rsidRPr="000F23FB">
        <w:rPr>
          <w:rFonts w:ascii="仿宋_GB2312" w:eastAsia="宋体" w:hAnsi="仿宋_GB2312" w:cs="Times New Roman"/>
          <w:sz w:val="32"/>
          <w:szCs w:val="32"/>
        </w:rPr>
        <w:t>0</w:t>
      </w:r>
      <w:r w:rsidRPr="000F23FB">
        <w:rPr>
          <w:rFonts w:ascii="仿宋_GB2312" w:eastAsia="宋体" w:hAnsi="仿宋_GB2312" w:cs="Times New Roman"/>
          <w:sz w:val="32"/>
          <w:szCs w:val="32"/>
        </w:rPr>
        <w:t>辆、机要通信用车</w:t>
      </w:r>
      <w:r w:rsidRPr="000F23FB">
        <w:rPr>
          <w:rFonts w:ascii="仿宋_GB2312" w:eastAsia="宋体" w:hAnsi="仿宋_GB2312" w:cs="Times New Roman"/>
          <w:sz w:val="32"/>
          <w:szCs w:val="32"/>
        </w:rPr>
        <w:t xml:space="preserve"> 0 </w:t>
      </w:r>
      <w:r w:rsidRPr="000F23FB">
        <w:rPr>
          <w:rFonts w:ascii="仿宋_GB2312" w:eastAsia="宋体" w:hAnsi="仿宋_GB2312" w:cs="Times New Roman"/>
          <w:sz w:val="32"/>
          <w:szCs w:val="32"/>
        </w:rPr>
        <w:t>辆、应急保障用车</w:t>
      </w:r>
      <w:r w:rsidRPr="000F23FB">
        <w:rPr>
          <w:rFonts w:ascii="仿宋_GB2312" w:eastAsia="宋体" w:hAnsi="仿宋_GB2312" w:cs="Times New Roman"/>
          <w:sz w:val="32"/>
          <w:szCs w:val="32"/>
        </w:rPr>
        <w:t xml:space="preserve">0 </w:t>
      </w:r>
      <w:r w:rsidRPr="000F23FB">
        <w:rPr>
          <w:rFonts w:ascii="仿宋_GB2312" w:eastAsia="宋体" w:hAnsi="仿宋_GB2312" w:cs="Times New Roman"/>
          <w:sz w:val="32"/>
          <w:szCs w:val="32"/>
        </w:rPr>
        <w:t>辆、执法执勤用车</w:t>
      </w:r>
      <w:r w:rsidRPr="000F23FB">
        <w:rPr>
          <w:rFonts w:ascii="仿宋_GB2312" w:eastAsia="宋体" w:hAnsi="仿宋_GB2312" w:cs="Times New Roman"/>
          <w:sz w:val="32"/>
          <w:szCs w:val="32"/>
        </w:rPr>
        <w:t xml:space="preserve">0 </w:t>
      </w:r>
      <w:r w:rsidRPr="000F23FB">
        <w:rPr>
          <w:rFonts w:ascii="仿宋_GB2312" w:eastAsia="宋体" w:hAnsi="仿宋_GB2312" w:cs="Times New Roman"/>
          <w:sz w:val="32"/>
          <w:szCs w:val="32"/>
        </w:rPr>
        <w:t>辆、特种专业技术用车</w:t>
      </w:r>
      <w:r w:rsidRPr="000F23FB">
        <w:rPr>
          <w:rFonts w:ascii="仿宋_GB2312" w:eastAsia="宋体" w:hAnsi="仿宋_GB2312" w:cs="Times New Roman"/>
          <w:sz w:val="32"/>
          <w:szCs w:val="32"/>
        </w:rPr>
        <w:t xml:space="preserve">0 </w:t>
      </w:r>
      <w:r w:rsidRPr="000F23FB">
        <w:rPr>
          <w:rFonts w:ascii="仿宋_GB2312" w:eastAsia="宋体" w:hAnsi="仿宋_GB2312" w:cs="Times New Roman"/>
          <w:sz w:val="32"/>
          <w:szCs w:val="32"/>
        </w:rPr>
        <w:t>辆、离退休干部用车</w:t>
      </w:r>
      <w:r w:rsidRPr="000F23FB">
        <w:rPr>
          <w:rFonts w:ascii="仿宋_GB2312" w:eastAsia="宋体" w:hAnsi="仿宋_GB2312" w:cs="Times New Roman"/>
          <w:sz w:val="32"/>
          <w:szCs w:val="32"/>
        </w:rPr>
        <w:t xml:space="preserve"> 0</w:t>
      </w:r>
      <w:r w:rsidRPr="000F23FB">
        <w:rPr>
          <w:rFonts w:ascii="仿宋_GB2312" w:eastAsia="宋体" w:hAnsi="仿宋_GB2312" w:cs="Times New Roman"/>
          <w:sz w:val="32"/>
          <w:szCs w:val="32"/>
        </w:rPr>
        <w:t>辆、其他用车</w:t>
      </w:r>
      <w:r w:rsidRPr="000F23FB">
        <w:rPr>
          <w:rFonts w:ascii="仿宋_GB2312" w:eastAsia="宋体" w:hAnsi="仿宋_GB2312" w:cs="Times New Roman"/>
          <w:sz w:val="32"/>
          <w:szCs w:val="32"/>
        </w:rPr>
        <w:t xml:space="preserve"> 2 </w:t>
      </w:r>
      <w:r w:rsidRPr="000F23FB">
        <w:rPr>
          <w:rFonts w:ascii="仿宋_GB2312" w:eastAsia="宋体" w:hAnsi="仿宋_GB2312" w:cs="Times New Roman"/>
          <w:sz w:val="32"/>
          <w:szCs w:val="32"/>
        </w:rPr>
        <w:t>辆；单位价值</w:t>
      </w:r>
      <w:r w:rsidRPr="000F23FB">
        <w:rPr>
          <w:rFonts w:ascii="仿宋_GB2312" w:eastAsia="宋体" w:hAnsi="仿宋_GB2312" w:cs="Times New Roman"/>
          <w:sz w:val="32"/>
          <w:szCs w:val="32"/>
        </w:rPr>
        <w:t>50</w:t>
      </w:r>
      <w:r w:rsidRPr="000F23FB">
        <w:rPr>
          <w:rFonts w:ascii="仿宋_GB2312" w:eastAsia="宋体" w:hAnsi="仿宋_GB2312" w:cs="Times New Roman"/>
          <w:sz w:val="32"/>
          <w:szCs w:val="32"/>
        </w:rPr>
        <w:t>万元以上的通用设备</w:t>
      </w:r>
      <w:r w:rsidRPr="000F23FB">
        <w:rPr>
          <w:rFonts w:ascii="仿宋_GB2312" w:eastAsia="宋体" w:hAnsi="仿宋_GB2312" w:cs="Times New Roman"/>
          <w:sz w:val="32"/>
          <w:szCs w:val="32"/>
        </w:rPr>
        <w:t xml:space="preserve"> 0</w:t>
      </w:r>
      <w:r w:rsidRPr="000F23FB">
        <w:rPr>
          <w:rFonts w:ascii="仿宋_GB2312" w:eastAsia="宋体" w:hAnsi="仿宋_GB2312" w:cs="Times New Roman"/>
          <w:sz w:val="32"/>
          <w:szCs w:val="32"/>
        </w:rPr>
        <w:t>台（套），单位价值</w:t>
      </w:r>
      <w:r w:rsidRPr="000F23FB">
        <w:rPr>
          <w:rFonts w:ascii="仿宋_GB2312" w:eastAsia="宋体" w:hAnsi="仿宋_GB2312" w:cs="Times New Roman"/>
          <w:sz w:val="32"/>
          <w:szCs w:val="32"/>
        </w:rPr>
        <w:t>100</w:t>
      </w:r>
      <w:r w:rsidRPr="000F23FB">
        <w:rPr>
          <w:rFonts w:ascii="仿宋_GB2312" w:eastAsia="宋体" w:hAnsi="仿宋_GB2312" w:cs="Times New Roman"/>
          <w:sz w:val="32"/>
          <w:szCs w:val="32"/>
        </w:rPr>
        <w:t>万元以上的专用设备</w:t>
      </w:r>
      <w:r w:rsidRPr="000F23FB">
        <w:rPr>
          <w:rFonts w:ascii="仿宋_GB2312" w:eastAsia="宋体" w:hAnsi="仿宋_GB2312" w:cs="Times New Roman"/>
          <w:sz w:val="32"/>
          <w:szCs w:val="32"/>
        </w:rPr>
        <w:t xml:space="preserve"> 0</w:t>
      </w:r>
      <w:r w:rsidRPr="000F23FB">
        <w:rPr>
          <w:rFonts w:ascii="仿宋_GB2312" w:eastAsia="宋体" w:hAnsi="仿宋_GB2312" w:cs="Times New Roman"/>
          <w:sz w:val="32"/>
          <w:szCs w:val="32"/>
        </w:rPr>
        <w:t>台（套）。</w:t>
      </w:r>
    </w:p>
    <w:p w:rsidR="000F23FB" w:rsidRPr="000F23FB" w:rsidRDefault="000F23FB" w:rsidP="000F23FB">
      <w:pPr>
        <w:keepNext/>
        <w:keepLines/>
        <w:spacing w:line="412" w:lineRule="auto"/>
        <w:outlineLvl w:val="1"/>
        <w:rPr>
          <w:rFonts w:ascii="黑体" w:eastAsia="黑体" w:hAnsi="黑体" w:cs="Arial"/>
          <w:sz w:val="32"/>
          <w:szCs w:val="32"/>
        </w:rPr>
      </w:pPr>
      <w:bookmarkStart w:id="28" w:name="_Toc8647"/>
      <w:bookmarkEnd w:id="28"/>
      <w:r w:rsidRPr="000F23FB">
        <w:rPr>
          <w:rFonts w:ascii="黑体" w:eastAsia="黑体" w:hAnsi="黑体" w:cs="Arial" w:hint="eastAsia"/>
          <w:sz w:val="32"/>
          <w:szCs w:val="32"/>
        </w:rPr>
        <w:t>七、政府采购支出情况说明</w:t>
      </w:r>
    </w:p>
    <w:p w:rsidR="000F23FB" w:rsidRPr="000F23FB" w:rsidRDefault="000F23FB" w:rsidP="000F23FB">
      <w:pPr>
        <w:autoSpaceDE w:val="0"/>
        <w:spacing w:line="560" w:lineRule="exact"/>
        <w:rPr>
          <w:rFonts w:ascii="仿宋_GB2312" w:eastAsia="宋体" w:hAnsi="仿宋_GB2312" w:cs="Times New Roman" w:hint="eastAsia"/>
          <w:sz w:val="32"/>
          <w:szCs w:val="32"/>
        </w:rPr>
      </w:pPr>
      <w:r w:rsidRPr="000F23FB">
        <w:rPr>
          <w:rFonts w:ascii="仿宋_GB2312" w:eastAsia="宋体" w:hAnsi="仿宋_GB2312" w:cs="Times New Roman"/>
          <w:sz w:val="32"/>
          <w:szCs w:val="32"/>
        </w:rPr>
        <w:t>双鸭山市住房公积金管理中心</w:t>
      </w:r>
      <w:r w:rsidRPr="000F23FB">
        <w:rPr>
          <w:rFonts w:ascii="仿宋_GB2312" w:eastAsia="宋体" w:hAnsi="仿宋_GB2312" w:cs="Times New Roman"/>
          <w:sz w:val="32"/>
          <w:szCs w:val="32"/>
        </w:rPr>
        <w:t>2018</w:t>
      </w:r>
      <w:r w:rsidRPr="000F23FB">
        <w:rPr>
          <w:rFonts w:ascii="仿宋_GB2312" w:eastAsia="宋体" w:hAnsi="仿宋_GB2312" w:cs="Times New Roman"/>
          <w:sz w:val="32"/>
          <w:szCs w:val="32"/>
        </w:rPr>
        <w:t>年度政府采购支出总额</w:t>
      </w:r>
      <w:r w:rsidRPr="000F23FB">
        <w:rPr>
          <w:rFonts w:ascii="仿宋_GB2312" w:eastAsia="宋体" w:hAnsi="仿宋_GB2312" w:cs="Times New Roman"/>
          <w:sz w:val="32"/>
          <w:szCs w:val="32"/>
        </w:rPr>
        <w:t>61.2</w:t>
      </w:r>
      <w:r w:rsidRPr="000F23FB">
        <w:rPr>
          <w:rFonts w:ascii="仿宋_GB2312" w:eastAsia="宋体" w:hAnsi="仿宋_GB2312" w:cs="Times New Roman"/>
          <w:sz w:val="32"/>
          <w:szCs w:val="32"/>
        </w:rPr>
        <w:t>万元，其中：政府采购货物支出</w:t>
      </w:r>
      <w:r w:rsidRPr="000F23FB">
        <w:rPr>
          <w:rFonts w:ascii="仿宋_GB2312" w:eastAsia="宋体" w:hAnsi="仿宋_GB2312" w:cs="Times New Roman"/>
          <w:sz w:val="32"/>
          <w:szCs w:val="32"/>
        </w:rPr>
        <w:t xml:space="preserve">61.2 </w:t>
      </w:r>
      <w:r w:rsidRPr="000F23FB">
        <w:rPr>
          <w:rFonts w:ascii="仿宋_GB2312" w:eastAsia="宋体" w:hAnsi="仿宋_GB2312" w:cs="Times New Roman"/>
          <w:sz w:val="32"/>
          <w:szCs w:val="32"/>
        </w:rPr>
        <w:t>万元，政府采购工程支出</w:t>
      </w:r>
      <w:r w:rsidRPr="000F23FB">
        <w:rPr>
          <w:rFonts w:ascii="仿宋_GB2312" w:eastAsia="宋体" w:hAnsi="仿宋_GB2312" w:cs="Times New Roman"/>
          <w:sz w:val="32"/>
          <w:szCs w:val="32"/>
        </w:rPr>
        <w:t xml:space="preserve"> 0</w:t>
      </w:r>
      <w:r w:rsidRPr="000F23FB">
        <w:rPr>
          <w:rFonts w:ascii="仿宋_GB2312" w:eastAsia="宋体" w:hAnsi="仿宋_GB2312" w:cs="Times New Roman"/>
          <w:sz w:val="32"/>
          <w:szCs w:val="32"/>
        </w:rPr>
        <w:t>万元，政府采购服务支出</w:t>
      </w:r>
      <w:r w:rsidRPr="000F23FB">
        <w:rPr>
          <w:rFonts w:ascii="仿宋_GB2312" w:eastAsia="宋体" w:hAnsi="仿宋_GB2312" w:cs="Times New Roman"/>
          <w:sz w:val="32"/>
          <w:szCs w:val="32"/>
        </w:rPr>
        <w:t xml:space="preserve"> 0</w:t>
      </w:r>
      <w:r w:rsidRPr="000F23FB">
        <w:rPr>
          <w:rFonts w:ascii="仿宋_GB2312" w:eastAsia="宋体" w:hAnsi="仿宋_GB2312" w:cs="Times New Roman"/>
          <w:sz w:val="32"/>
          <w:szCs w:val="32"/>
        </w:rPr>
        <w:t>万元。授予中小企业合同金额</w:t>
      </w:r>
      <w:r w:rsidRPr="000F23FB">
        <w:rPr>
          <w:rFonts w:ascii="仿宋_GB2312" w:eastAsia="宋体" w:hAnsi="仿宋_GB2312" w:cs="Times New Roman"/>
          <w:sz w:val="32"/>
          <w:szCs w:val="32"/>
        </w:rPr>
        <w:t xml:space="preserve"> 0</w:t>
      </w:r>
      <w:r w:rsidRPr="000F23FB">
        <w:rPr>
          <w:rFonts w:ascii="仿宋_GB2312" w:eastAsia="宋体" w:hAnsi="仿宋_GB2312" w:cs="Times New Roman"/>
          <w:sz w:val="32"/>
          <w:szCs w:val="32"/>
        </w:rPr>
        <w:t>万元，占政府采购支出总额的</w:t>
      </w:r>
      <w:r w:rsidRPr="000F23FB">
        <w:rPr>
          <w:rFonts w:ascii="仿宋_GB2312" w:eastAsia="宋体" w:hAnsi="仿宋_GB2312" w:cs="Times New Roman"/>
          <w:sz w:val="32"/>
          <w:szCs w:val="32"/>
        </w:rPr>
        <w:t xml:space="preserve"> 0 %</w:t>
      </w:r>
      <w:r w:rsidRPr="000F23FB">
        <w:rPr>
          <w:rFonts w:ascii="仿宋_GB2312" w:eastAsia="宋体" w:hAnsi="仿宋_GB2312" w:cs="Times New Roman"/>
          <w:sz w:val="32"/>
          <w:szCs w:val="32"/>
        </w:rPr>
        <w:t>，其中：授予小</w:t>
      </w:r>
      <w:proofErr w:type="gramStart"/>
      <w:r w:rsidRPr="000F23FB">
        <w:rPr>
          <w:rFonts w:ascii="仿宋_GB2312" w:eastAsia="宋体" w:hAnsi="仿宋_GB2312" w:cs="Times New Roman"/>
          <w:sz w:val="32"/>
          <w:szCs w:val="32"/>
        </w:rPr>
        <w:t>微企业</w:t>
      </w:r>
      <w:proofErr w:type="gramEnd"/>
      <w:r w:rsidRPr="000F23FB">
        <w:rPr>
          <w:rFonts w:ascii="仿宋_GB2312" w:eastAsia="宋体" w:hAnsi="仿宋_GB2312" w:cs="Times New Roman"/>
          <w:sz w:val="32"/>
          <w:szCs w:val="32"/>
        </w:rPr>
        <w:t>合同金额</w:t>
      </w:r>
      <w:r w:rsidRPr="000F23FB">
        <w:rPr>
          <w:rFonts w:ascii="仿宋_GB2312" w:eastAsia="宋体" w:hAnsi="仿宋_GB2312" w:cs="Times New Roman"/>
          <w:sz w:val="32"/>
          <w:szCs w:val="32"/>
        </w:rPr>
        <w:t xml:space="preserve"> 0</w:t>
      </w:r>
      <w:r w:rsidRPr="000F23FB">
        <w:rPr>
          <w:rFonts w:ascii="仿宋_GB2312" w:eastAsia="宋体" w:hAnsi="仿宋_GB2312" w:cs="Times New Roman"/>
          <w:sz w:val="32"/>
          <w:szCs w:val="32"/>
        </w:rPr>
        <w:t>万元，占政府采购支出总额的</w:t>
      </w:r>
      <w:r w:rsidRPr="000F23FB">
        <w:rPr>
          <w:rFonts w:ascii="仿宋_GB2312" w:eastAsia="宋体" w:hAnsi="仿宋_GB2312" w:cs="Times New Roman"/>
          <w:sz w:val="32"/>
          <w:szCs w:val="32"/>
        </w:rPr>
        <w:t xml:space="preserve"> 0 %</w:t>
      </w:r>
      <w:r w:rsidRPr="000F23FB">
        <w:rPr>
          <w:rFonts w:ascii="仿宋_GB2312" w:eastAsia="宋体" w:hAnsi="仿宋_GB2312" w:cs="Times New Roman"/>
          <w:sz w:val="32"/>
          <w:szCs w:val="32"/>
        </w:rPr>
        <w:t>。</w:t>
      </w:r>
    </w:p>
    <w:p w:rsidR="000F23FB" w:rsidRPr="000F23FB" w:rsidRDefault="000F23FB" w:rsidP="000F23FB">
      <w:pPr>
        <w:keepNext/>
        <w:autoSpaceDE w:val="0"/>
        <w:spacing w:line="560" w:lineRule="exact"/>
        <w:outlineLvl w:val="1"/>
        <w:rPr>
          <w:rFonts w:ascii="黑体" w:eastAsia="黑体" w:hAnsi="黑体" w:cs="Arial"/>
          <w:sz w:val="32"/>
          <w:szCs w:val="32"/>
        </w:rPr>
      </w:pPr>
      <w:bookmarkStart w:id="29" w:name="_Toc30844"/>
      <w:bookmarkEnd w:id="29"/>
      <w:r w:rsidRPr="000F23FB">
        <w:rPr>
          <w:rFonts w:ascii="黑体" w:eastAsia="黑体" w:hAnsi="黑体" w:cs="Arial" w:hint="eastAsia"/>
          <w:sz w:val="32"/>
          <w:szCs w:val="32"/>
        </w:rPr>
        <w:t>八、预算绩效情况说明</w:t>
      </w:r>
    </w:p>
    <w:p w:rsidR="000F23FB" w:rsidRPr="000F23FB" w:rsidRDefault="000F23FB" w:rsidP="000F23FB">
      <w:pPr>
        <w:autoSpaceDE w:val="0"/>
        <w:spacing w:line="560" w:lineRule="exact"/>
        <w:rPr>
          <w:rFonts w:ascii="仿宋_GB2312" w:eastAsia="宋体" w:hAnsi="仿宋_GB2312" w:cs="Times New Roman" w:hint="eastAsia"/>
          <w:sz w:val="32"/>
          <w:szCs w:val="32"/>
        </w:rPr>
      </w:pPr>
      <w:r w:rsidRPr="000F23FB">
        <w:rPr>
          <w:rFonts w:ascii="仿宋_GB2312" w:eastAsia="宋体" w:hAnsi="仿宋_GB2312" w:cs="Times New Roman"/>
          <w:b/>
          <w:bCs/>
          <w:sz w:val="32"/>
          <w:szCs w:val="32"/>
        </w:rPr>
        <w:t>(</w:t>
      </w:r>
      <w:r w:rsidRPr="000F23FB">
        <w:rPr>
          <w:rFonts w:ascii="仿宋_GB2312" w:eastAsia="宋体" w:hAnsi="仿宋_GB2312" w:cs="Times New Roman"/>
          <w:b/>
          <w:bCs/>
          <w:sz w:val="32"/>
          <w:szCs w:val="32"/>
        </w:rPr>
        <w:t>一）预算绩效管理工作开展情况。</w:t>
      </w:r>
      <w:r w:rsidRPr="000F23FB">
        <w:rPr>
          <w:rFonts w:ascii="仿宋_GB2312" w:eastAsia="宋体" w:hAnsi="仿宋_GB2312" w:cs="Times New Roman"/>
          <w:sz w:val="32"/>
          <w:szCs w:val="32"/>
        </w:rPr>
        <w:t>根据</w:t>
      </w:r>
      <w:r w:rsidR="00F60235">
        <w:rPr>
          <w:rFonts w:ascii="仿宋_GB2312" w:eastAsia="宋体" w:hAnsi="仿宋_GB2312" w:cs="Times New Roman" w:hint="eastAsia"/>
          <w:sz w:val="32"/>
          <w:szCs w:val="32"/>
        </w:rPr>
        <w:t>双鸭山市</w:t>
      </w:r>
      <w:r w:rsidRPr="000F23FB">
        <w:rPr>
          <w:rFonts w:ascii="仿宋_GB2312" w:eastAsia="宋体" w:hAnsi="仿宋_GB2312" w:cs="Times New Roman"/>
          <w:sz w:val="32"/>
          <w:szCs w:val="32"/>
        </w:rPr>
        <w:t>市财政局预算绩效管理工作要求，我中心对</w:t>
      </w:r>
      <w:r w:rsidRPr="000F23FB">
        <w:rPr>
          <w:rFonts w:ascii="仿宋_GB2312" w:eastAsia="宋体" w:hAnsi="仿宋_GB2312" w:cs="Times New Roman"/>
          <w:sz w:val="32"/>
          <w:szCs w:val="32"/>
        </w:rPr>
        <w:t>30</w:t>
      </w:r>
      <w:r w:rsidRPr="000F23FB">
        <w:rPr>
          <w:rFonts w:ascii="仿宋_GB2312" w:eastAsia="宋体" w:hAnsi="仿宋_GB2312" w:cs="Times New Roman"/>
          <w:sz w:val="32"/>
          <w:szCs w:val="32"/>
        </w:rPr>
        <w:t>万元以上的项目、政府购买公共服务项目和市级以上专项支出开展了</w:t>
      </w:r>
      <w:bookmarkStart w:id="30" w:name="_GoBack"/>
      <w:bookmarkEnd w:id="30"/>
      <w:r w:rsidRPr="000F23FB">
        <w:rPr>
          <w:rFonts w:ascii="仿宋_GB2312" w:eastAsia="宋体" w:hAnsi="仿宋_GB2312" w:cs="Times New Roman"/>
          <w:sz w:val="32"/>
          <w:szCs w:val="32"/>
        </w:rPr>
        <w:t>绩效评价工作，其中，自评价项目</w:t>
      </w:r>
      <w:r w:rsidRPr="000F23FB">
        <w:rPr>
          <w:rFonts w:ascii="仿宋_GB2312" w:eastAsia="宋体" w:hAnsi="仿宋_GB2312" w:cs="Times New Roman"/>
          <w:sz w:val="32"/>
          <w:szCs w:val="32"/>
        </w:rPr>
        <w:t xml:space="preserve"> 1 </w:t>
      </w:r>
      <w:r w:rsidRPr="000F23FB">
        <w:rPr>
          <w:rFonts w:ascii="仿宋_GB2312" w:eastAsia="宋体" w:hAnsi="仿宋_GB2312" w:cs="Times New Roman"/>
          <w:sz w:val="32"/>
          <w:szCs w:val="32"/>
        </w:rPr>
        <w:t>个，涉及一般公共预算支出</w:t>
      </w:r>
      <w:r w:rsidRPr="000F23FB">
        <w:rPr>
          <w:rFonts w:ascii="仿宋_GB2312" w:eastAsia="宋体" w:hAnsi="仿宋_GB2312" w:cs="Times New Roman"/>
          <w:sz w:val="32"/>
          <w:szCs w:val="32"/>
        </w:rPr>
        <w:t xml:space="preserve"> 61.2 </w:t>
      </w:r>
      <w:r w:rsidRPr="000F23FB">
        <w:rPr>
          <w:rFonts w:ascii="仿宋_GB2312" w:eastAsia="宋体" w:hAnsi="仿宋_GB2312" w:cs="Times New Roman"/>
          <w:sz w:val="32"/>
          <w:szCs w:val="32"/>
        </w:rPr>
        <w:t>万元，占部门预算项目支出总额的</w:t>
      </w:r>
      <w:r w:rsidRPr="000F23FB">
        <w:rPr>
          <w:rFonts w:ascii="仿宋_GB2312" w:eastAsia="宋体" w:hAnsi="仿宋_GB2312" w:cs="Times New Roman"/>
          <w:sz w:val="32"/>
          <w:szCs w:val="32"/>
        </w:rPr>
        <w:t>100%</w:t>
      </w:r>
      <w:r w:rsidRPr="000F23FB">
        <w:rPr>
          <w:rFonts w:ascii="仿宋_GB2312" w:eastAsia="宋体" w:hAnsi="仿宋_GB2312" w:cs="Times New Roman"/>
          <w:sz w:val="32"/>
          <w:szCs w:val="32"/>
        </w:rPr>
        <w:t>。</w:t>
      </w:r>
    </w:p>
    <w:p w:rsidR="000F23FB" w:rsidRPr="000F23FB" w:rsidRDefault="000F23FB" w:rsidP="000F23FB">
      <w:pPr>
        <w:widowControl/>
        <w:rPr>
          <w:rFonts w:ascii="仿宋" w:eastAsia="仿宋" w:hAnsi="仿宋" w:cs="宋体"/>
          <w:b/>
          <w:bCs/>
          <w:color w:val="333333"/>
          <w:kern w:val="0"/>
          <w:sz w:val="32"/>
          <w:szCs w:val="32"/>
        </w:rPr>
      </w:pPr>
      <w:r w:rsidRPr="000F23FB">
        <w:rPr>
          <w:rFonts w:ascii="仿宋_GB2312" w:eastAsia="宋体" w:hAnsi="仿宋_GB2312" w:cs="Times New Roman"/>
          <w:b/>
          <w:bCs/>
          <w:sz w:val="32"/>
          <w:szCs w:val="32"/>
        </w:rPr>
        <w:t>（二）绩效</w:t>
      </w:r>
      <w:proofErr w:type="gramStart"/>
      <w:r w:rsidRPr="000F23FB">
        <w:rPr>
          <w:rFonts w:ascii="仿宋_GB2312" w:eastAsia="宋体" w:hAnsi="仿宋_GB2312" w:cs="Times New Roman"/>
          <w:b/>
          <w:bCs/>
          <w:sz w:val="32"/>
          <w:szCs w:val="32"/>
        </w:rPr>
        <w:t>自评价</w:t>
      </w:r>
      <w:proofErr w:type="gramEnd"/>
      <w:r w:rsidRPr="000F23FB">
        <w:rPr>
          <w:rFonts w:ascii="仿宋_GB2312" w:eastAsia="宋体" w:hAnsi="仿宋_GB2312" w:cs="Times New Roman"/>
          <w:b/>
          <w:bCs/>
          <w:sz w:val="32"/>
          <w:szCs w:val="32"/>
        </w:rPr>
        <w:t>结果情况。</w:t>
      </w:r>
      <w:r w:rsidRPr="000F23FB">
        <w:rPr>
          <w:rFonts w:ascii="仿宋_GB2312" w:eastAsia="宋体" w:hAnsi="仿宋_GB2312" w:cs="Times New Roman"/>
          <w:sz w:val="32"/>
          <w:szCs w:val="32"/>
        </w:rPr>
        <w:t>我中心</w:t>
      </w:r>
      <w:proofErr w:type="gramStart"/>
      <w:r w:rsidRPr="000F23FB">
        <w:rPr>
          <w:rFonts w:ascii="仿宋_GB2312" w:eastAsia="宋体" w:hAnsi="仿宋_GB2312" w:cs="Times New Roman"/>
          <w:sz w:val="32"/>
          <w:szCs w:val="32"/>
        </w:rPr>
        <w:t>自评价</w:t>
      </w:r>
      <w:proofErr w:type="gramEnd"/>
      <w:r w:rsidRPr="000F23FB">
        <w:rPr>
          <w:rFonts w:ascii="仿宋_GB2312" w:eastAsia="宋体" w:hAnsi="仿宋_GB2312" w:cs="Times New Roman"/>
          <w:sz w:val="32"/>
          <w:szCs w:val="32"/>
        </w:rPr>
        <w:t>项目</w:t>
      </w:r>
      <w:r w:rsidRPr="000F23FB">
        <w:rPr>
          <w:rFonts w:ascii="仿宋_GB2312" w:eastAsia="宋体" w:hAnsi="仿宋_GB2312" w:cs="Times New Roman"/>
          <w:sz w:val="32"/>
          <w:szCs w:val="32"/>
        </w:rPr>
        <w:t xml:space="preserve"> 1 </w:t>
      </w:r>
      <w:proofErr w:type="gramStart"/>
      <w:r w:rsidRPr="000F23FB">
        <w:rPr>
          <w:rFonts w:ascii="仿宋_GB2312" w:eastAsia="宋体" w:hAnsi="仿宋_GB2312" w:cs="Times New Roman"/>
          <w:sz w:val="32"/>
          <w:szCs w:val="32"/>
        </w:rPr>
        <w:t>个</w:t>
      </w:r>
      <w:proofErr w:type="gramEnd"/>
      <w:r w:rsidRPr="000F23FB">
        <w:rPr>
          <w:rFonts w:ascii="仿宋_GB2312" w:eastAsia="宋体" w:hAnsi="仿宋_GB2312" w:cs="Times New Roman"/>
          <w:sz w:val="32"/>
          <w:szCs w:val="32"/>
        </w:rPr>
        <w:t>，项目全年预算数合计</w:t>
      </w:r>
      <w:r w:rsidRPr="000F23FB">
        <w:rPr>
          <w:rFonts w:ascii="仿宋_GB2312" w:eastAsia="宋体" w:hAnsi="仿宋_GB2312" w:cs="Times New Roman"/>
          <w:sz w:val="32"/>
          <w:szCs w:val="32"/>
        </w:rPr>
        <w:t xml:space="preserve"> 76.5 </w:t>
      </w:r>
      <w:r w:rsidRPr="000F23FB">
        <w:rPr>
          <w:rFonts w:ascii="仿宋_GB2312" w:eastAsia="宋体" w:hAnsi="仿宋_GB2312" w:cs="Times New Roman"/>
          <w:sz w:val="32"/>
          <w:szCs w:val="32"/>
        </w:rPr>
        <w:t>万元，执行数合计</w:t>
      </w:r>
      <w:r w:rsidRPr="000F23FB">
        <w:rPr>
          <w:rFonts w:ascii="仿宋_GB2312" w:eastAsia="宋体" w:hAnsi="仿宋_GB2312" w:cs="Times New Roman"/>
          <w:sz w:val="32"/>
          <w:szCs w:val="32"/>
        </w:rPr>
        <w:t xml:space="preserve"> 61.2 </w:t>
      </w:r>
      <w:r w:rsidRPr="000F23FB">
        <w:rPr>
          <w:rFonts w:ascii="仿宋_GB2312" w:eastAsia="宋体" w:hAnsi="仿宋_GB2312" w:cs="Times New Roman"/>
          <w:sz w:val="32"/>
          <w:szCs w:val="32"/>
        </w:rPr>
        <w:t>万元，按当年进度完成预算的</w:t>
      </w:r>
      <w:r w:rsidRPr="000F23FB">
        <w:rPr>
          <w:rFonts w:ascii="仿宋_GB2312" w:eastAsia="宋体" w:hAnsi="仿宋_GB2312" w:cs="Times New Roman"/>
          <w:sz w:val="32"/>
          <w:szCs w:val="32"/>
        </w:rPr>
        <w:t>100 %</w:t>
      </w:r>
      <w:r w:rsidRPr="000F23FB">
        <w:rPr>
          <w:rFonts w:ascii="仿宋_GB2312" w:eastAsia="宋体" w:hAnsi="仿宋_GB2312" w:cs="Times New Roman"/>
          <w:sz w:val="32"/>
          <w:szCs w:val="32"/>
        </w:rPr>
        <w:t>，绩效</w:t>
      </w:r>
      <w:proofErr w:type="gramStart"/>
      <w:r w:rsidRPr="000F23FB">
        <w:rPr>
          <w:rFonts w:ascii="仿宋_GB2312" w:eastAsia="宋体" w:hAnsi="仿宋_GB2312" w:cs="Times New Roman"/>
          <w:sz w:val="32"/>
          <w:szCs w:val="32"/>
        </w:rPr>
        <w:t>自评价</w:t>
      </w:r>
      <w:proofErr w:type="gramEnd"/>
      <w:r w:rsidRPr="000F23FB">
        <w:rPr>
          <w:rFonts w:ascii="仿宋_GB2312" w:eastAsia="宋体" w:hAnsi="仿宋_GB2312" w:cs="Times New Roman"/>
          <w:sz w:val="32"/>
          <w:szCs w:val="32"/>
        </w:rPr>
        <w:t>平均得分</w:t>
      </w:r>
      <w:r w:rsidRPr="000F23FB">
        <w:rPr>
          <w:rFonts w:ascii="仿宋_GB2312" w:eastAsia="宋体" w:hAnsi="仿宋_GB2312" w:cs="Times New Roman"/>
          <w:sz w:val="32"/>
          <w:szCs w:val="32"/>
        </w:rPr>
        <w:t>95</w:t>
      </w:r>
      <w:r w:rsidRPr="000F23FB">
        <w:rPr>
          <w:rFonts w:ascii="仿宋_GB2312" w:eastAsia="宋体" w:hAnsi="仿宋_GB2312" w:cs="Times New Roman"/>
          <w:sz w:val="32"/>
          <w:szCs w:val="32"/>
        </w:rPr>
        <w:t>分。</w:t>
      </w:r>
    </w:p>
    <w:p w:rsidR="000F23FB" w:rsidRPr="000F23FB" w:rsidRDefault="000F23FB" w:rsidP="000F23FB">
      <w:pPr>
        <w:keepNext/>
        <w:autoSpaceDE w:val="0"/>
        <w:spacing w:line="560" w:lineRule="exact"/>
        <w:jc w:val="center"/>
        <w:outlineLvl w:val="0"/>
        <w:rPr>
          <w:rFonts w:ascii="宋体" w:eastAsia="宋体" w:hAnsi="宋体" w:cs="Times New Roman" w:hint="eastAsia"/>
          <w:b/>
          <w:bCs/>
          <w:kern w:val="44"/>
          <w:sz w:val="44"/>
          <w:szCs w:val="44"/>
        </w:rPr>
      </w:pPr>
      <w:bookmarkStart w:id="31" w:name="_Toc4897_WPSOffice_Level1"/>
      <w:bookmarkStart w:id="32" w:name="_Toc24874"/>
      <w:bookmarkEnd w:id="31"/>
      <w:r w:rsidRPr="000F23FB">
        <w:rPr>
          <w:rFonts w:ascii="宋体" w:eastAsia="宋体" w:hAnsi="宋体" w:cs="Times New Roman" w:hint="eastAsia"/>
          <w:b/>
          <w:bCs/>
          <w:kern w:val="44"/>
          <w:sz w:val="44"/>
          <w:szCs w:val="44"/>
        </w:rPr>
        <w:lastRenderedPageBreak/>
        <w:t>第四部分</w:t>
      </w:r>
      <w:bookmarkEnd w:id="32"/>
      <w:r w:rsidRPr="000F23FB">
        <w:rPr>
          <w:rFonts w:ascii="宋体" w:eastAsia="宋体" w:hAnsi="宋体" w:cs="Times New Roman" w:hint="eastAsia"/>
          <w:b/>
          <w:bCs/>
          <w:kern w:val="44"/>
          <w:sz w:val="44"/>
          <w:szCs w:val="44"/>
        </w:rPr>
        <w:t>名词解释</w:t>
      </w:r>
    </w:p>
    <w:p w:rsidR="000F23FB" w:rsidRPr="000F23FB" w:rsidRDefault="000F23FB" w:rsidP="000F23FB">
      <w:pPr>
        <w:autoSpaceDE w:val="0"/>
        <w:spacing w:line="560" w:lineRule="exact"/>
        <w:rPr>
          <w:rFonts w:ascii="仿宋_GB2312" w:eastAsia="宋体" w:hAnsi="仿宋_GB2312" w:cs="Times New Roman" w:hint="eastAsia"/>
          <w:sz w:val="32"/>
          <w:szCs w:val="32"/>
        </w:rPr>
      </w:pPr>
      <w:r w:rsidRPr="000F23FB">
        <w:rPr>
          <w:rFonts w:ascii="仿宋_GB2312" w:eastAsia="宋体" w:hAnsi="仿宋_GB2312" w:cs="Times New Roman"/>
          <w:b/>
          <w:bCs/>
          <w:sz w:val="32"/>
          <w:szCs w:val="32"/>
        </w:rPr>
        <w:t>一、财政拨款收入：</w:t>
      </w:r>
      <w:r w:rsidRPr="000F23FB">
        <w:rPr>
          <w:rFonts w:ascii="仿宋_GB2312" w:eastAsia="宋体" w:hAnsi="仿宋_GB2312" w:cs="Times New Roman"/>
          <w:sz w:val="32"/>
          <w:szCs w:val="32"/>
        </w:rPr>
        <w:t>指财政当年拨付的资金。</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b/>
          <w:bCs/>
          <w:sz w:val="32"/>
          <w:szCs w:val="32"/>
        </w:rPr>
        <w:t>二、上级补助收入：</w:t>
      </w:r>
      <w:r w:rsidRPr="000F23FB">
        <w:rPr>
          <w:rFonts w:ascii="仿宋_GB2312" w:eastAsia="宋体" w:hAnsi="仿宋_GB2312" w:cs="Times New Roman"/>
          <w:sz w:val="32"/>
          <w:szCs w:val="32"/>
        </w:rPr>
        <w:t>指单位从主管部门和上级单位取得的非财政补助收入。</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b/>
          <w:bCs/>
          <w:sz w:val="32"/>
          <w:szCs w:val="32"/>
        </w:rPr>
        <w:t>三、事业收入：</w:t>
      </w:r>
      <w:r w:rsidRPr="000F23FB">
        <w:rPr>
          <w:rFonts w:ascii="仿宋_GB2312" w:eastAsia="宋体" w:hAnsi="仿宋_GB2312" w:cs="Times New Roman"/>
          <w:sz w:val="32"/>
          <w:szCs w:val="32"/>
        </w:rPr>
        <w:t>指事业单位开展专业业务活动及其辅助活动所取得的收入。</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b/>
          <w:bCs/>
          <w:sz w:val="32"/>
          <w:szCs w:val="32"/>
        </w:rPr>
        <w:t>四、经营收入：</w:t>
      </w:r>
      <w:r w:rsidRPr="000F23FB">
        <w:rPr>
          <w:rFonts w:ascii="仿宋_GB2312" w:eastAsia="宋体" w:hAnsi="仿宋_GB2312" w:cs="Times New Roman"/>
          <w:sz w:val="32"/>
          <w:szCs w:val="32"/>
        </w:rPr>
        <w:t>指事业单位在专业业务活动及其辅助活动之外开展非独立核算经营活动取得的收入。</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b/>
          <w:bCs/>
          <w:sz w:val="32"/>
          <w:szCs w:val="32"/>
        </w:rPr>
        <w:t>五、附属单位上缴收入：</w:t>
      </w:r>
      <w:r w:rsidRPr="000F23FB">
        <w:rPr>
          <w:rFonts w:ascii="仿宋_GB2312" w:eastAsia="宋体" w:hAnsi="仿宋_GB2312" w:cs="Times New Roman"/>
          <w:sz w:val="32"/>
          <w:szCs w:val="32"/>
        </w:rPr>
        <w:t>指单位附属的独立核算单位按有关规定上缴的收入。</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b/>
          <w:bCs/>
          <w:sz w:val="32"/>
          <w:szCs w:val="32"/>
        </w:rPr>
        <w:t>六、其他收入：</w:t>
      </w:r>
      <w:r w:rsidRPr="000F23FB">
        <w:rPr>
          <w:rFonts w:ascii="仿宋_GB2312" w:eastAsia="宋体" w:hAnsi="仿宋_GB2312" w:cs="Times New Roman"/>
          <w:sz w:val="32"/>
          <w:szCs w:val="32"/>
        </w:rPr>
        <w:t>指除上述</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财政拨款收入</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事业收入</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经营收入</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附属单位缴款</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等之外取得的收入。包括利息收入、捐赠收入等。</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b/>
          <w:bCs/>
          <w:sz w:val="32"/>
          <w:szCs w:val="32"/>
        </w:rPr>
        <w:t>七、用事业基金弥补收支差额：</w:t>
      </w:r>
      <w:r w:rsidRPr="000F23FB">
        <w:rPr>
          <w:rFonts w:ascii="仿宋_GB2312" w:eastAsia="宋体" w:hAnsi="仿宋_GB2312" w:cs="Times New Roman"/>
          <w:sz w:val="32"/>
          <w:szCs w:val="32"/>
        </w:rPr>
        <w:t>指事业单位在当年的</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财政拨款收入</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财政拨款结转和结余资金</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事业收入</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事业单位经营收入</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其他收入</w:t>
      </w:r>
      <w:r w:rsidRPr="000F23FB">
        <w:rPr>
          <w:rFonts w:ascii="仿宋_GB2312" w:eastAsia="宋体" w:hAnsi="仿宋_GB2312" w:cs="Times New Roman"/>
          <w:sz w:val="32"/>
          <w:szCs w:val="32"/>
        </w:rPr>
        <w:t>”</w:t>
      </w:r>
      <w:r w:rsidRPr="000F23FB">
        <w:rPr>
          <w:rFonts w:ascii="仿宋_GB2312" w:eastAsia="宋体" w:hAnsi="仿宋_GB2312" w:cs="Times New Roman"/>
          <w:sz w:val="32"/>
          <w:szCs w:val="32"/>
        </w:rPr>
        <w:t>不足以安排当年支出的情况下，使用以前年度积累的事业基金（即事业单位当年收支相抵后按国家规定提取、用于弥补以后年度收支差额的基金）弥补本年度收支缺口的资金。</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b/>
          <w:bCs/>
          <w:sz w:val="32"/>
          <w:szCs w:val="32"/>
        </w:rPr>
        <w:t>八、年初结转和结余：</w:t>
      </w:r>
      <w:r w:rsidRPr="000F23FB">
        <w:rPr>
          <w:rFonts w:ascii="仿宋_GB2312" w:eastAsia="宋体" w:hAnsi="仿宋_GB2312" w:cs="Times New Roman"/>
          <w:sz w:val="32"/>
          <w:szCs w:val="32"/>
        </w:rPr>
        <w:t>指以前年度支出预算因客观条件变化未执行完毕、结转到本年度按有关规定继续使用的资金，既包括财政拨款结转和结余，也包括事业收入、经营收入、其他收入的结转和结余。</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b/>
          <w:bCs/>
          <w:sz w:val="32"/>
          <w:szCs w:val="32"/>
        </w:rPr>
        <w:t>九、结余分配：</w:t>
      </w:r>
      <w:r w:rsidRPr="000F23FB">
        <w:rPr>
          <w:rFonts w:ascii="仿宋_GB2312" w:eastAsia="宋体" w:hAnsi="仿宋_GB2312" w:cs="Times New Roman"/>
          <w:sz w:val="32"/>
          <w:szCs w:val="32"/>
        </w:rPr>
        <w:t>指事业单位按照规定提取的职工福利基金、</w:t>
      </w:r>
      <w:r w:rsidRPr="000F23FB">
        <w:rPr>
          <w:rFonts w:ascii="仿宋_GB2312" w:eastAsia="宋体" w:hAnsi="仿宋_GB2312" w:cs="Times New Roman"/>
          <w:sz w:val="32"/>
          <w:szCs w:val="32"/>
        </w:rPr>
        <w:lastRenderedPageBreak/>
        <w:t>事业基金和缴纳的所得税。</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b/>
          <w:bCs/>
          <w:sz w:val="32"/>
          <w:szCs w:val="32"/>
        </w:rPr>
        <w:t>十、年末结转和结余：</w:t>
      </w:r>
      <w:r w:rsidRPr="000F23FB">
        <w:rPr>
          <w:rFonts w:ascii="仿宋_GB2312" w:eastAsia="宋体" w:hAnsi="仿宋_GB2312" w:cs="Times New Roman"/>
          <w:sz w:val="32"/>
          <w:szCs w:val="32"/>
        </w:rPr>
        <w:t>指本年度或以前年度预算安排、因客观条件发生变化无法按原计划实施，需要延迟到以后年度按有关规定继续使用的资金，既包括财政拨款结转和结余，也包括事业收入、经营收入、其他收入的结转和结余。</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b/>
          <w:bCs/>
          <w:sz w:val="32"/>
          <w:szCs w:val="32"/>
        </w:rPr>
        <w:t>十一、一般公共预算财政拨款：</w:t>
      </w:r>
      <w:r w:rsidRPr="000F23FB">
        <w:rPr>
          <w:rFonts w:ascii="仿宋_GB2312" w:eastAsia="宋体" w:hAnsi="仿宋_GB2312" w:cs="Times New Roman"/>
          <w:sz w:val="32"/>
          <w:szCs w:val="32"/>
        </w:rPr>
        <w:t>是指财政部门以税收为主体的财政收入安排的用于保障和改善民生、推动经济社会发展、维护国家安全、维持国家机构正常运转等方面支出的拨款。</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b/>
          <w:bCs/>
          <w:sz w:val="32"/>
          <w:szCs w:val="32"/>
        </w:rPr>
        <w:t>十二、政府性基金预算财政拨款：</w:t>
      </w:r>
      <w:r w:rsidRPr="000F23FB">
        <w:rPr>
          <w:rFonts w:ascii="仿宋_GB2312" w:eastAsia="宋体" w:hAnsi="仿宋_GB2312" w:cs="Times New Roman"/>
          <w:sz w:val="32"/>
          <w:szCs w:val="32"/>
        </w:rPr>
        <w:t>是指财政部门使用依照法律、行政法规的规定在一定期限内向特定对象征收、收取或者以其他方式筹集的资金安排的，专项用于特定公共事业发展支出的拨款。</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b/>
          <w:bCs/>
          <w:sz w:val="32"/>
          <w:szCs w:val="32"/>
        </w:rPr>
        <w:t>十三、一般公共预算财政拨款</w:t>
      </w:r>
      <w:r w:rsidRPr="000F23FB">
        <w:rPr>
          <w:rFonts w:ascii="仿宋_GB2312" w:eastAsia="宋体" w:hAnsi="仿宋_GB2312" w:cs="Times New Roman"/>
          <w:b/>
          <w:bCs/>
          <w:sz w:val="32"/>
          <w:szCs w:val="32"/>
        </w:rPr>
        <w:t>“</w:t>
      </w:r>
      <w:r w:rsidRPr="000F23FB">
        <w:rPr>
          <w:rFonts w:ascii="仿宋_GB2312" w:eastAsia="宋体" w:hAnsi="仿宋_GB2312" w:cs="Times New Roman"/>
          <w:b/>
          <w:bCs/>
          <w:sz w:val="32"/>
          <w:szCs w:val="32"/>
        </w:rPr>
        <w:t>三公</w:t>
      </w:r>
      <w:r w:rsidRPr="000F23FB">
        <w:rPr>
          <w:rFonts w:ascii="仿宋_GB2312" w:eastAsia="宋体" w:hAnsi="仿宋_GB2312" w:cs="Times New Roman"/>
          <w:b/>
          <w:bCs/>
          <w:sz w:val="32"/>
          <w:szCs w:val="32"/>
        </w:rPr>
        <w:t>”</w:t>
      </w:r>
      <w:r w:rsidRPr="000F23FB">
        <w:rPr>
          <w:rFonts w:ascii="仿宋_GB2312" w:eastAsia="宋体" w:hAnsi="仿宋_GB2312" w:cs="Times New Roman"/>
          <w:b/>
          <w:bCs/>
          <w:sz w:val="32"/>
          <w:szCs w:val="32"/>
        </w:rPr>
        <w:t>经费：</w:t>
      </w:r>
      <w:r w:rsidRPr="000F23FB">
        <w:rPr>
          <w:rFonts w:ascii="仿宋" w:eastAsia="仿宋" w:hAnsi="仿宋" w:cs="Times New Roman" w:hint="eastAsia"/>
          <w:sz w:val="32"/>
          <w:szCs w:val="32"/>
        </w:rPr>
        <w:t>纳入财政预决算管理的“三公”经费，是指部门用财政拨款安排的因公出国（境）费、公务用车购置及运行费和公务接待费。是党政机关维持运转或完成特定工作任务所开支的相关支出，是政府行政开支的一部分。</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sz w:val="32"/>
          <w:szCs w:val="32"/>
        </w:rPr>
        <w:t>（一）因公出国（境）费：反映公务出国（境）的住宿费、旅费、伙食补助费、杂费、培训费等支出。</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sz w:val="32"/>
          <w:szCs w:val="32"/>
        </w:rPr>
        <w:t>（二）公务用车购置及运行费：反映公务用车购置费及租用费、燃料费、维修费、过路过桥费、保险费等支出。</w:t>
      </w:r>
      <w:r w:rsidRPr="000F23FB">
        <w:rPr>
          <w:rFonts w:ascii="仿宋_GB2312" w:eastAsia="宋体" w:hAnsi="仿宋_GB2312" w:cs="Times New Roman"/>
          <w:sz w:val="32"/>
          <w:szCs w:val="32"/>
        </w:rPr>
        <w:t xml:space="preserve">    </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sz w:val="32"/>
          <w:szCs w:val="32"/>
        </w:rPr>
        <w:t>（三）公务接待费：反映按规定开支的各类公务接待（含外宾接待）支出。</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b/>
          <w:bCs/>
          <w:sz w:val="32"/>
          <w:szCs w:val="32"/>
        </w:rPr>
        <w:t>十四、机关运行经费：</w:t>
      </w:r>
      <w:r w:rsidRPr="000F23FB">
        <w:rPr>
          <w:rFonts w:ascii="仿宋_GB2312" w:eastAsia="宋体" w:hAnsi="仿宋_GB2312" w:cs="Times New Roman"/>
          <w:sz w:val="32"/>
          <w:szCs w:val="32"/>
        </w:rPr>
        <w:t>反映行政单位和</w:t>
      </w:r>
      <w:proofErr w:type="gramStart"/>
      <w:r w:rsidRPr="000F23FB">
        <w:rPr>
          <w:rFonts w:ascii="仿宋_GB2312" w:eastAsia="宋体" w:hAnsi="仿宋_GB2312" w:cs="Times New Roman"/>
          <w:sz w:val="32"/>
          <w:szCs w:val="32"/>
        </w:rPr>
        <w:t>参公</w:t>
      </w:r>
      <w:proofErr w:type="gramEnd"/>
      <w:r w:rsidRPr="000F23FB">
        <w:rPr>
          <w:rFonts w:ascii="仿宋_GB2312" w:eastAsia="宋体" w:hAnsi="仿宋_GB2312" w:cs="Times New Roman"/>
          <w:sz w:val="32"/>
          <w:szCs w:val="32"/>
        </w:rPr>
        <w:t>管理事业单位使</w:t>
      </w:r>
      <w:r w:rsidRPr="000F23FB">
        <w:rPr>
          <w:rFonts w:ascii="仿宋_GB2312" w:eastAsia="宋体" w:hAnsi="仿宋_GB2312" w:cs="Times New Roman"/>
          <w:sz w:val="32"/>
          <w:szCs w:val="32"/>
        </w:rPr>
        <w:lastRenderedPageBreak/>
        <w:t>用一般公共预算财政拨款安排的基本支出中的日常公用经费，具体包括办公费、水费、电费、邮电费、取暖费、物业管理费、交通费、差旅费、维修（护）费、培训费、招待费、工会经费、福利费</w:t>
      </w:r>
      <w:proofErr w:type="gramStart"/>
      <w:r w:rsidRPr="000F23FB">
        <w:rPr>
          <w:rFonts w:ascii="仿宋_GB2312" w:eastAsia="宋体" w:hAnsi="仿宋_GB2312" w:cs="Times New Roman"/>
          <w:sz w:val="32"/>
          <w:szCs w:val="32"/>
        </w:rPr>
        <w:t>等利费等</w:t>
      </w:r>
      <w:proofErr w:type="gramEnd"/>
      <w:r w:rsidRPr="000F23FB">
        <w:rPr>
          <w:rFonts w:ascii="仿宋_GB2312" w:eastAsia="宋体" w:hAnsi="仿宋_GB2312" w:cs="Times New Roman"/>
          <w:sz w:val="32"/>
          <w:szCs w:val="32"/>
        </w:rPr>
        <w:t>。</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b/>
          <w:bCs/>
          <w:sz w:val="32"/>
          <w:szCs w:val="32"/>
        </w:rPr>
        <w:t>十五、基本支出：</w:t>
      </w:r>
      <w:r w:rsidRPr="000F23FB">
        <w:rPr>
          <w:rFonts w:ascii="仿宋_GB2312" w:eastAsia="宋体" w:hAnsi="仿宋_GB2312" w:cs="Times New Roman"/>
          <w:sz w:val="32"/>
          <w:szCs w:val="32"/>
        </w:rPr>
        <w:t>指为保障机构正常运转、完成日常工作任务而发生的人员支出和公用支出。</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b/>
          <w:bCs/>
          <w:sz w:val="32"/>
          <w:szCs w:val="32"/>
        </w:rPr>
        <w:t>十六、项目支出：</w:t>
      </w:r>
      <w:r w:rsidRPr="000F23FB">
        <w:rPr>
          <w:rFonts w:ascii="仿宋_GB2312" w:eastAsia="宋体" w:hAnsi="仿宋_GB2312" w:cs="Times New Roman"/>
          <w:sz w:val="32"/>
          <w:szCs w:val="32"/>
        </w:rPr>
        <w:t>指在基本支出之外为完成特定行政任务和事业发展目标所发生的支出。</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b/>
          <w:bCs/>
          <w:sz w:val="32"/>
          <w:szCs w:val="32"/>
        </w:rPr>
        <w:t>十七、一般公共服务支出（类）政府办公厅（室）及相关机构事务（款）行政运行（项）：</w:t>
      </w:r>
      <w:r w:rsidRPr="000F23FB">
        <w:rPr>
          <w:rFonts w:ascii="仿宋_GB2312" w:eastAsia="宋体" w:hAnsi="仿宋_GB2312" w:cs="Times New Roman"/>
          <w:sz w:val="32"/>
          <w:szCs w:val="32"/>
        </w:rPr>
        <w:t>反映行政单位包括（实行公务员管理的事业单位）的基本支出。</w:t>
      </w:r>
    </w:p>
    <w:p w:rsidR="000F23FB" w:rsidRPr="000F23FB" w:rsidRDefault="000F23FB" w:rsidP="000F23FB">
      <w:pPr>
        <w:autoSpaceDE w:val="0"/>
        <w:spacing w:line="560" w:lineRule="exact"/>
        <w:rPr>
          <w:rFonts w:ascii="仿宋_GB2312" w:eastAsia="宋体" w:hAnsi="仿宋_GB2312" w:cs="Times New Roman"/>
          <w:sz w:val="32"/>
          <w:szCs w:val="32"/>
        </w:rPr>
      </w:pPr>
      <w:r w:rsidRPr="000F23FB">
        <w:rPr>
          <w:rFonts w:ascii="仿宋_GB2312" w:eastAsia="宋体" w:hAnsi="仿宋_GB2312" w:cs="Times New Roman"/>
          <w:b/>
          <w:bCs/>
          <w:sz w:val="32"/>
          <w:szCs w:val="32"/>
        </w:rPr>
        <w:t>十八、社会保障和就业支出（类）行政事业单位离退休（款）未归口管理的行政单位离退休（项）：</w:t>
      </w:r>
      <w:r w:rsidRPr="000F23FB">
        <w:rPr>
          <w:rFonts w:ascii="仿宋_GB2312" w:eastAsia="宋体" w:hAnsi="仿宋_GB2312" w:cs="Times New Roman"/>
          <w:sz w:val="32"/>
          <w:szCs w:val="32"/>
        </w:rPr>
        <w:t>反映未实行归口管理的行政单位（包括实行公务员管理的事业单位）开支的离退休支出。</w:t>
      </w:r>
    </w:p>
    <w:p w:rsidR="000F23FB" w:rsidRPr="000F23FB" w:rsidRDefault="000F23FB" w:rsidP="000F23FB">
      <w:pPr>
        <w:jc w:val="center"/>
        <w:rPr>
          <w:rFonts w:ascii="宋体" w:eastAsia="宋体" w:hAnsi="宋体" w:cs="Times New Roman"/>
          <w:b/>
          <w:bCs/>
          <w:color w:val="000000"/>
          <w:sz w:val="44"/>
          <w:szCs w:val="44"/>
        </w:rPr>
      </w:pPr>
      <w:r w:rsidRPr="000F23FB">
        <w:rPr>
          <w:rFonts w:ascii="宋体" w:eastAsia="宋体" w:hAnsi="宋体" w:cs="Times New Roman" w:hint="eastAsia"/>
          <w:b/>
          <w:bCs/>
          <w:color w:val="000000"/>
          <w:sz w:val="44"/>
          <w:szCs w:val="44"/>
        </w:rPr>
        <w:t xml:space="preserve"> </w:t>
      </w:r>
    </w:p>
    <w:p w:rsidR="000F23FB" w:rsidRPr="000F23FB" w:rsidRDefault="000F23FB" w:rsidP="000F23FB">
      <w:pPr>
        <w:jc w:val="cente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t xml:space="preserve"> </w:t>
      </w:r>
    </w:p>
    <w:p w:rsidR="000F23FB" w:rsidRPr="000F23FB" w:rsidRDefault="000F23FB" w:rsidP="000F23FB">
      <w:pPr>
        <w:jc w:val="cente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t xml:space="preserve"> </w:t>
      </w:r>
    </w:p>
    <w:p w:rsidR="000F23FB" w:rsidRPr="000F23FB" w:rsidRDefault="000F23FB" w:rsidP="000F23FB">
      <w:pPr>
        <w:jc w:val="cente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t xml:space="preserve"> </w:t>
      </w:r>
    </w:p>
    <w:p w:rsidR="000F23FB" w:rsidRPr="000F23FB" w:rsidRDefault="000F23FB" w:rsidP="000F23FB">
      <w:pPr>
        <w:jc w:val="cente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t xml:space="preserve"> </w:t>
      </w:r>
    </w:p>
    <w:p w:rsidR="000F23FB" w:rsidRPr="000F23FB" w:rsidRDefault="000F23FB" w:rsidP="000F23FB">
      <w:pPr>
        <w:jc w:val="cente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t xml:space="preserve"> </w:t>
      </w:r>
    </w:p>
    <w:p w:rsidR="000F23FB" w:rsidRPr="000F23FB" w:rsidRDefault="000F23FB" w:rsidP="000F23FB">
      <w:pPr>
        <w:jc w:val="cente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t xml:space="preserve"> </w:t>
      </w:r>
    </w:p>
    <w:p w:rsidR="000F23FB" w:rsidRPr="000F23FB" w:rsidRDefault="000F23FB" w:rsidP="000F23FB">
      <w:pPr>
        <w:jc w:val="cente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t xml:space="preserve"> </w:t>
      </w:r>
    </w:p>
    <w:p w:rsidR="000F23FB" w:rsidRPr="000F23FB" w:rsidRDefault="000F23FB" w:rsidP="000F23FB">
      <w:pPr>
        <w:jc w:val="cente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lastRenderedPageBreak/>
        <w:t xml:space="preserve"> </w:t>
      </w:r>
    </w:p>
    <w:p w:rsidR="000F23FB" w:rsidRPr="000F23FB" w:rsidRDefault="000F23FB" w:rsidP="000F23FB">
      <w:pPr>
        <w:jc w:val="cente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t xml:space="preserve"> </w:t>
      </w:r>
    </w:p>
    <w:p w:rsidR="000F23FB" w:rsidRPr="000F23FB" w:rsidRDefault="000F23FB" w:rsidP="000F23FB">
      <w:pPr>
        <w:jc w:val="cente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t xml:space="preserve"> </w:t>
      </w:r>
    </w:p>
    <w:p w:rsidR="000F23FB" w:rsidRPr="000F23FB" w:rsidRDefault="000F23FB" w:rsidP="000F23FB">
      <w:pPr>
        <w:jc w:val="cente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t xml:space="preserve"> </w:t>
      </w:r>
    </w:p>
    <w:p w:rsidR="000F23FB" w:rsidRPr="000F23FB" w:rsidRDefault="000F23FB" w:rsidP="000F23FB">
      <w:pP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t xml:space="preserve"> </w:t>
      </w:r>
    </w:p>
    <w:p w:rsidR="000F23FB" w:rsidRPr="000F23FB" w:rsidRDefault="000F23FB" w:rsidP="000F23FB">
      <w:pP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t xml:space="preserve"> </w:t>
      </w:r>
    </w:p>
    <w:p w:rsidR="000F23FB" w:rsidRPr="000F23FB" w:rsidRDefault="000F23FB" w:rsidP="000F23FB">
      <w:pP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t xml:space="preserve"> </w:t>
      </w:r>
    </w:p>
    <w:p w:rsidR="000F23FB" w:rsidRPr="000F23FB" w:rsidRDefault="000F23FB" w:rsidP="000F23FB">
      <w:pP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t xml:space="preserve"> </w:t>
      </w:r>
    </w:p>
    <w:p w:rsidR="000F23FB" w:rsidRPr="000F23FB" w:rsidRDefault="000F23FB" w:rsidP="000F23FB">
      <w:pP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t xml:space="preserve"> </w:t>
      </w:r>
    </w:p>
    <w:p w:rsidR="000F23FB" w:rsidRPr="000F23FB" w:rsidRDefault="000F23FB" w:rsidP="000F23FB">
      <w:pP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t xml:space="preserve"> </w:t>
      </w:r>
    </w:p>
    <w:p w:rsidR="000F23FB" w:rsidRPr="000F23FB" w:rsidRDefault="000F23FB" w:rsidP="000F23FB">
      <w:pP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t xml:space="preserve"> </w:t>
      </w:r>
    </w:p>
    <w:p w:rsidR="000F23FB" w:rsidRPr="000F23FB" w:rsidRDefault="000F23FB" w:rsidP="000F23FB">
      <w:pP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t xml:space="preserve">双鸭山市住房公积金管理中心         </w:t>
      </w:r>
    </w:p>
    <w:p w:rsidR="000F23FB" w:rsidRPr="000F23FB" w:rsidRDefault="000F23FB" w:rsidP="000F23FB">
      <w:pPr>
        <w:jc w:val="center"/>
        <w:rPr>
          <w:rFonts w:ascii="宋体" w:eastAsia="宋体" w:hAnsi="宋体" w:cs="Times New Roman" w:hint="eastAsia"/>
          <w:b/>
          <w:bCs/>
          <w:color w:val="000000"/>
          <w:sz w:val="44"/>
          <w:szCs w:val="44"/>
        </w:rPr>
      </w:pPr>
      <w:r w:rsidRPr="000F23FB">
        <w:rPr>
          <w:rFonts w:ascii="宋体" w:eastAsia="宋体" w:hAnsi="宋体" w:cs="Times New Roman" w:hint="eastAsia"/>
          <w:b/>
          <w:bCs/>
          <w:color w:val="000000"/>
          <w:sz w:val="44"/>
          <w:szCs w:val="44"/>
        </w:rPr>
        <w:t xml:space="preserve"> 2018年度项目绩效评价自评报告</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 xml:space="preserve">                                                  </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一、项目概况。</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（一）单位基本情况</w:t>
      </w:r>
    </w:p>
    <w:p w:rsidR="000F23FB" w:rsidRPr="000F23FB" w:rsidRDefault="000F23FB" w:rsidP="000F23FB">
      <w:pPr>
        <w:widowControl/>
        <w:spacing w:after="230"/>
        <w:jc w:val="left"/>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 xml:space="preserve"> 双鸭山市住房公积金管理中心（以下简称中心），直属于双鸭山市人民政府的副处级事业单位。</w:t>
      </w:r>
      <w:r w:rsidRPr="000F23FB">
        <w:rPr>
          <w:rFonts w:ascii="仿宋" w:eastAsia="仿宋" w:hAnsi="仿宋" w:cs="Times New Roman" w:hint="eastAsia"/>
          <w:b/>
          <w:bCs/>
          <w:sz w:val="32"/>
          <w:szCs w:val="32"/>
        </w:rPr>
        <w:t>内设</w:t>
      </w:r>
      <w:r w:rsidRPr="000F23FB">
        <w:rPr>
          <w:rFonts w:ascii="仿宋" w:eastAsia="仿宋" w:hAnsi="仿宋" w:cs="Times New Roman" w:hint="eastAsia"/>
          <w:b/>
          <w:bCs/>
          <w:color w:val="333333"/>
          <w:sz w:val="32"/>
          <w:szCs w:val="32"/>
          <w:shd w:val="clear" w:color="auto" w:fill="FFFFFF"/>
        </w:rPr>
        <w:t>10个职能科室和6个办事处，分别为正科级（即办公室、政工科、计财科、归集科、核算科、信贷科、政策法规科、稽核科、信贷风险防控科、信息技术科；派出集贤、宝清、友谊、饶河、电厂、矿区六个办事处）。</w:t>
      </w:r>
    </w:p>
    <w:p w:rsidR="000F23FB" w:rsidRPr="000F23FB" w:rsidRDefault="000F23FB" w:rsidP="000F23FB">
      <w:pPr>
        <w:jc w:val="left"/>
        <w:rPr>
          <w:rFonts w:ascii="仿宋" w:eastAsia="仿宋" w:hAnsi="仿宋" w:cs="Times New Roman" w:hint="eastAsia"/>
          <w:b/>
          <w:bCs/>
          <w:color w:val="333333"/>
          <w:sz w:val="32"/>
          <w:szCs w:val="32"/>
          <w:shd w:val="clear" w:color="auto" w:fill="FFFFFF"/>
        </w:rPr>
      </w:pPr>
      <w:r w:rsidRPr="000F23FB">
        <w:rPr>
          <w:rFonts w:ascii="仿宋" w:eastAsia="仿宋" w:hAnsi="仿宋" w:cs="Times New Roman" w:hint="eastAsia"/>
          <w:b/>
          <w:bCs/>
          <w:color w:val="333333"/>
          <w:sz w:val="32"/>
          <w:szCs w:val="32"/>
          <w:shd w:val="clear" w:color="auto" w:fill="FFFFFF"/>
        </w:rPr>
        <w:lastRenderedPageBreak/>
        <w:t>主要职责：</w:t>
      </w:r>
    </w:p>
    <w:p w:rsidR="000F23FB" w:rsidRPr="000F23FB" w:rsidRDefault="000F23FB" w:rsidP="000F23FB">
      <w:pPr>
        <w:jc w:val="left"/>
        <w:rPr>
          <w:rFonts w:ascii="仿宋" w:eastAsia="仿宋" w:hAnsi="仿宋" w:cs="Times New Roman" w:hint="eastAsia"/>
          <w:b/>
          <w:bCs/>
          <w:color w:val="333333"/>
          <w:sz w:val="32"/>
          <w:szCs w:val="32"/>
          <w:shd w:val="clear" w:color="auto" w:fill="FFFFFF"/>
        </w:rPr>
      </w:pPr>
      <w:r w:rsidRPr="000F23FB">
        <w:rPr>
          <w:rFonts w:ascii="仿宋" w:eastAsia="仿宋" w:hAnsi="仿宋" w:cs="Times New Roman" w:hint="eastAsia"/>
          <w:b/>
          <w:bCs/>
          <w:color w:val="333333"/>
          <w:sz w:val="32"/>
          <w:szCs w:val="32"/>
          <w:shd w:val="clear" w:color="auto" w:fill="FFFFFF"/>
        </w:rPr>
        <w:t>（1）、市住房公积金管理中心负责全市行政辖区内的住房公积金归集、核算、支取、信贷管理等业务。</w:t>
      </w:r>
    </w:p>
    <w:p w:rsidR="000F23FB" w:rsidRPr="000F23FB" w:rsidRDefault="000F23FB" w:rsidP="000F23FB">
      <w:pPr>
        <w:jc w:val="left"/>
        <w:rPr>
          <w:rFonts w:ascii="仿宋" w:eastAsia="仿宋" w:hAnsi="仿宋" w:cs="Times New Roman" w:hint="eastAsia"/>
          <w:b/>
          <w:bCs/>
          <w:sz w:val="32"/>
          <w:szCs w:val="32"/>
        </w:rPr>
      </w:pPr>
      <w:r w:rsidRPr="000F23FB">
        <w:rPr>
          <w:rFonts w:ascii="仿宋" w:eastAsia="仿宋" w:hAnsi="仿宋" w:cs="Times New Roman" w:hint="eastAsia"/>
          <w:b/>
          <w:bCs/>
          <w:sz w:val="32"/>
          <w:szCs w:val="32"/>
        </w:rPr>
        <w:t>（2）、</w:t>
      </w:r>
      <w:r w:rsidRPr="000F23FB">
        <w:rPr>
          <w:rFonts w:ascii="仿宋" w:eastAsia="仿宋" w:hAnsi="仿宋" w:cs="Times New Roman" w:hint="eastAsia"/>
          <w:b/>
          <w:bCs/>
          <w:color w:val="333333"/>
          <w:sz w:val="32"/>
          <w:szCs w:val="32"/>
          <w:shd w:val="clear" w:color="auto" w:fill="FFFFFF"/>
        </w:rPr>
        <w:t>贯彻落实国家《住房公积金管理条例》及有关政策、法规，研究制定地方性住房公积金管理的具体实施办法和配套文件。</w:t>
      </w:r>
    </w:p>
    <w:p w:rsidR="000F23FB" w:rsidRPr="000F23FB" w:rsidRDefault="000F23FB" w:rsidP="000F23FB">
      <w:pPr>
        <w:widowControl/>
        <w:spacing w:after="230"/>
        <w:jc w:val="left"/>
        <w:rPr>
          <w:rFonts w:ascii="仿宋" w:eastAsia="仿宋" w:hAnsi="仿宋" w:cs="宋体" w:hint="eastAsia"/>
          <w:b/>
          <w:bCs/>
          <w:color w:val="333333"/>
          <w:kern w:val="0"/>
          <w:sz w:val="32"/>
          <w:szCs w:val="32"/>
        </w:rPr>
      </w:pPr>
      <w:r w:rsidRPr="000F23FB">
        <w:rPr>
          <w:rFonts w:ascii="仿宋" w:eastAsia="仿宋" w:hAnsi="仿宋" w:cs="Times New Roman" w:hint="eastAsia"/>
          <w:b/>
          <w:bCs/>
          <w:sz w:val="32"/>
          <w:szCs w:val="32"/>
        </w:rPr>
        <w:t xml:space="preserve">  （3）、</w:t>
      </w:r>
      <w:r w:rsidRPr="000F23FB">
        <w:rPr>
          <w:rFonts w:ascii="仿宋" w:eastAsia="仿宋" w:hAnsi="仿宋" w:cs="Times New Roman" w:hint="eastAsia"/>
          <w:b/>
          <w:bCs/>
          <w:color w:val="333333"/>
          <w:sz w:val="32"/>
          <w:szCs w:val="32"/>
          <w:shd w:val="clear" w:color="auto" w:fill="FFFFFF"/>
        </w:rPr>
        <w:t>实行“统一决策、统一管理、统一制度、统一核算”的管理机制，依法保护住房公积金缴存职工的合法权益，确保资金安全使用、保值增值。</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（二）项目基本性质、用途和主要内容、涉及范围</w:t>
      </w:r>
    </w:p>
    <w:p w:rsidR="000F23FB" w:rsidRPr="000F23FB" w:rsidRDefault="000F23FB" w:rsidP="000F23FB">
      <w:pPr>
        <w:widowControl/>
        <w:textAlignment w:val="center"/>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2018年安排资金76.5万元，资金来源：自筹资金。</w:t>
      </w:r>
    </w:p>
    <w:p w:rsidR="000F23FB" w:rsidRPr="000F23FB" w:rsidRDefault="000F23FB" w:rsidP="000F23FB">
      <w:pPr>
        <w:widowControl/>
        <w:textAlignment w:val="center"/>
        <w:rPr>
          <w:rFonts w:ascii="仿宋" w:eastAsia="仿宋" w:hAnsi="仿宋" w:cs="宋体" w:hint="eastAsia"/>
          <w:b/>
          <w:bCs/>
          <w:color w:val="333333"/>
          <w:kern w:val="0"/>
          <w:sz w:val="32"/>
          <w:szCs w:val="32"/>
        </w:rPr>
      </w:pPr>
      <w:proofErr w:type="gramStart"/>
      <w:r w:rsidRPr="000F23FB">
        <w:rPr>
          <w:rFonts w:ascii="仿宋" w:eastAsia="仿宋" w:hAnsi="仿宋" w:cs="宋体" w:hint="eastAsia"/>
          <w:b/>
          <w:bCs/>
          <w:color w:val="333333"/>
          <w:kern w:val="0"/>
          <w:sz w:val="32"/>
          <w:szCs w:val="32"/>
        </w:rPr>
        <w:t>伟奥住房</w:t>
      </w:r>
      <w:proofErr w:type="gramEnd"/>
      <w:r w:rsidRPr="000F23FB">
        <w:rPr>
          <w:rFonts w:ascii="仿宋" w:eastAsia="仿宋" w:hAnsi="仿宋" w:cs="宋体" w:hint="eastAsia"/>
          <w:b/>
          <w:bCs/>
          <w:color w:val="333333"/>
          <w:kern w:val="0"/>
          <w:sz w:val="32"/>
          <w:szCs w:val="32"/>
        </w:rPr>
        <w:t>公积金管理系统3.0软件费76.5万元，用于市中心及各办事处正常工作和住房公积金业务办理需要。涉及范围：市中心及各办事处。</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（三）项目年初绩效目标设定情况</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1、项目绩效目标为阶段性</w:t>
      </w:r>
    </w:p>
    <w:p w:rsidR="000F23FB" w:rsidRPr="000F23FB" w:rsidRDefault="000F23FB" w:rsidP="000F23FB">
      <w:pPr>
        <w:widowControl/>
        <w:textAlignment w:val="center"/>
        <w:rPr>
          <w:rFonts w:ascii="仿宋" w:eastAsia="仿宋" w:hAnsi="仿宋" w:cs="宋体" w:hint="eastAsia"/>
          <w:b/>
          <w:bCs/>
          <w:color w:val="333333"/>
          <w:kern w:val="0"/>
          <w:sz w:val="32"/>
          <w:szCs w:val="32"/>
        </w:rPr>
      </w:pPr>
      <w:proofErr w:type="gramStart"/>
      <w:r w:rsidRPr="000F23FB">
        <w:rPr>
          <w:rFonts w:ascii="仿宋" w:eastAsia="仿宋" w:hAnsi="仿宋" w:cs="宋体" w:hint="eastAsia"/>
          <w:b/>
          <w:bCs/>
          <w:color w:val="333333"/>
          <w:kern w:val="0"/>
          <w:sz w:val="32"/>
          <w:szCs w:val="32"/>
        </w:rPr>
        <w:t>伟奥住房</w:t>
      </w:r>
      <w:proofErr w:type="gramEnd"/>
      <w:r w:rsidRPr="000F23FB">
        <w:rPr>
          <w:rFonts w:ascii="仿宋" w:eastAsia="仿宋" w:hAnsi="仿宋" w:cs="宋体" w:hint="eastAsia"/>
          <w:b/>
          <w:bCs/>
          <w:color w:val="333333"/>
          <w:kern w:val="0"/>
          <w:sz w:val="32"/>
          <w:szCs w:val="32"/>
        </w:rPr>
        <w:t>公积金管理系统3.0费用76.5万元，用于中心日常工作和住房公积金业务办理，主要是市中心及各办事处正常工作和住房公积金业务办理需要。涉及范围：市中心及各办事处。</w:t>
      </w:r>
    </w:p>
    <w:p w:rsidR="000F23FB" w:rsidRPr="000F23FB" w:rsidRDefault="000F23FB" w:rsidP="000F23FB">
      <w:pPr>
        <w:widowControl/>
        <w:textAlignment w:val="center"/>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（二、项目资金使用及管理情况</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（一）、项目资金预算及到位情况</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lastRenderedPageBreak/>
        <w:t>2018年共安排此项资金76.5万元，根据项目情况，2018年共支出项目资金61.2万元。</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（二）、项目资金使用情况</w:t>
      </w:r>
    </w:p>
    <w:p w:rsidR="000F23FB" w:rsidRPr="000F23FB" w:rsidRDefault="000F23FB" w:rsidP="000F23FB">
      <w:pPr>
        <w:widowControl/>
        <w:textAlignment w:val="center"/>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1、</w:t>
      </w:r>
      <w:proofErr w:type="gramStart"/>
      <w:r w:rsidRPr="000F23FB">
        <w:rPr>
          <w:rFonts w:ascii="仿宋" w:eastAsia="仿宋" w:hAnsi="仿宋" w:cs="宋体" w:hint="eastAsia"/>
          <w:b/>
          <w:bCs/>
          <w:color w:val="333333"/>
          <w:kern w:val="0"/>
          <w:sz w:val="32"/>
          <w:szCs w:val="32"/>
        </w:rPr>
        <w:t>伟奥住房</w:t>
      </w:r>
      <w:proofErr w:type="gramEnd"/>
      <w:r w:rsidRPr="000F23FB">
        <w:rPr>
          <w:rFonts w:ascii="仿宋" w:eastAsia="仿宋" w:hAnsi="仿宋" w:cs="宋体" w:hint="eastAsia"/>
          <w:b/>
          <w:bCs/>
          <w:color w:val="333333"/>
          <w:kern w:val="0"/>
          <w:sz w:val="32"/>
          <w:szCs w:val="32"/>
        </w:rPr>
        <w:t>公积金管理系统3.0软件费，已按进度支付。</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（三）、项目资金管理情况</w:t>
      </w:r>
    </w:p>
    <w:p w:rsidR="000F23FB" w:rsidRPr="000F23FB" w:rsidRDefault="000F23FB" w:rsidP="000F23FB">
      <w:pPr>
        <w:widowControl/>
        <w:textAlignment w:val="center"/>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我单位</w:t>
      </w:r>
      <w:proofErr w:type="gramStart"/>
      <w:r w:rsidRPr="000F23FB">
        <w:rPr>
          <w:rFonts w:ascii="仿宋" w:eastAsia="仿宋" w:hAnsi="仿宋" w:cs="宋体" w:hint="eastAsia"/>
          <w:b/>
          <w:bCs/>
          <w:color w:val="333333"/>
          <w:kern w:val="0"/>
          <w:sz w:val="32"/>
          <w:szCs w:val="32"/>
        </w:rPr>
        <w:t>伟奥住房</w:t>
      </w:r>
      <w:proofErr w:type="gramEnd"/>
      <w:r w:rsidRPr="000F23FB">
        <w:rPr>
          <w:rFonts w:ascii="仿宋" w:eastAsia="仿宋" w:hAnsi="仿宋" w:cs="宋体" w:hint="eastAsia"/>
          <w:b/>
          <w:bCs/>
          <w:color w:val="333333"/>
          <w:kern w:val="0"/>
          <w:sz w:val="32"/>
          <w:szCs w:val="32"/>
        </w:rPr>
        <w:t>公积金管理系统3.0软件费61.2万元，由市财政局下达资金额度授权支付付款，严格遵循专款专用、独立核算的管理原则。</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 xml:space="preserve"> </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三、项目组织实施情况</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（一）、计划制定和落实情况</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我中心与售货方签订了黑龙江省双鸭山市政府采购合同，合同中详细地制订了可行的项目实施计划，并逐步按照合同约定项目落实。</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（二）、项目实施管理情况</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我中心按照项目实施计划和与售货方签订的政府采购合同规定，严格按照规定及时跟踪检查项目完成进度。</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四、项目绩效情况</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绩效评价工作过程：前期准备、组织实施、分析评价</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本次自评根据</w:t>
      </w:r>
      <w:proofErr w:type="gramStart"/>
      <w:r w:rsidRPr="000F23FB">
        <w:rPr>
          <w:rFonts w:ascii="仿宋" w:eastAsia="仿宋" w:hAnsi="仿宋" w:cs="宋体" w:hint="eastAsia"/>
          <w:b/>
          <w:bCs/>
          <w:color w:val="333333"/>
          <w:kern w:val="0"/>
          <w:sz w:val="32"/>
          <w:szCs w:val="32"/>
        </w:rPr>
        <w:t>双财绩</w:t>
      </w:r>
      <w:proofErr w:type="gramEnd"/>
      <w:r w:rsidRPr="000F23FB">
        <w:rPr>
          <w:rFonts w:ascii="仿宋" w:eastAsia="仿宋" w:hAnsi="仿宋" w:cs="宋体" w:hint="eastAsia"/>
          <w:b/>
          <w:bCs/>
          <w:color w:val="333333"/>
          <w:kern w:val="0"/>
          <w:sz w:val="32"/>
          <w:szCs w:val="32"/>
        </w:rPr>
        <w:t>[2018]《双鸭山市财政局关于开展2018年度市级财政资金绩效自评工作的通知》开展，根据单位</w:t>
      </w:r>
      <w:r w:rsidRPr="000F23FB">
        <w:rPr>
          <w:rFonts w:ascii="仿宋" w:eastAsia="仿宋" w:hAnsi="仿宋" w:cs="宋体" w:hint="eastAsia"/>
          <w:b/>
          <w:bCs/>
          <w:color w:val="333333"/>
          <w:kern w:val="0"/>
          <w:sz w:val="32"/>
          <w:szCs w:val="32"/>
        </w:rPr>
        <w:lastRenderedPageBreak/>
        <w:t xml:space="preserve">2018年项目申报情况，及2018年申报项目完成情况进行分析自评。 </w:t>
      </w:r>
    </w:p>
    <w:p w:rsidR="000F23FB" w:rsidRPr="000F23FB" w:rsidRDefault="000F23FB" w:rsidP="000F23FB">
      <w:pPr>
        <w:widowControl/>
        <w:rPr>
          <w:rFonts w:ascii="仿宋" w:eastAsia="仿宋" w:hAnsi="仿宋" w:cs="宋体" w:hint="eastAsia"/>
          <w:b/>
          <w:bCs/>
          <w:color w:val="333333"/>
          <w:kern w:val="0"/>
          <w:sz w:val="32"/>
          <w:szCs w:val="32"/>
        </w:rPr>
      </w:pPr>
      <w:proofErr w:type="gramStart"/>
      <w:r w:rsidRPr="000F23FB">
        <w:rPr>
          <w:rFonts w:ascii="仿宋" w:eastAsia="仿宋" w:hAnsi="仿宋" w:cs="宋体" w:hint="eastAsia"/>
          <w:b/>
          <w:bCs/>
          <w:color w:val="333333"/>
          <w:kern w:val="0"/>
          <w:sz w:val="32"/>
          <w:szCs w:val="32"/>
        </w:rPr>
        <w:t>伟奥住房</w:t>
      </w:r>
      <w:proofErr w:type="gramEnd"/>
      <w:r w:rsidRPr="000F23FB">
        <w:rPr>
          <w:rFonts w:ascii="仿宋" w:eastAsia="仿宋" w:hAnsi="仿宋" w:cs="宋体" w:hint="eastAsia"/>
          <w:b/>
          <w:bCs/>
          <w:color w:val="333333"/>
          <w:kern w:val="0"/>
          <w:sz w:val="32"/>
          <w:szCs w:val="32"/>
        </w:rPr>
        <w:t>公积金管理系统3.0软件已按进度完成，总体评价为优。具体如下：</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（一）、项目的经济性分析</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（1）项目成本（预算）控制情况</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此项目在实施过程中，严格 控制经费支出实际总支出没有超出预算资金。</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（2）项目成本（预算）节约情况</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2018年我此项目，资金支付率100%实际支出没有超出预算。</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（二）、项目的效率性分析</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（1）项目的实施进度</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我单位2018年申报项目全部投入实施开展。</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（三）、项目的有效性分析</w:t>
      </w:r>
    </w:p>
    <w:p w:rsidR="000F23FB" w:rsidRPr="000F23FB" w:rsidRDefault="000F23FB" w:rsidP="000F23FB">
      <w:pPr>
        <w:widowControl/>
        <w:spacing w:before="31" w:after="100" w:afterAutospacing="1"/>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2018年中心通过加快信息化建设步伐，不仅实现了变“群众奔波”为“信息跑腿”，为群众提供更便民服务。</w:t>
      </w:r>
    </w:p>
    <w:p w:rsidR="000F23FB" w:rsidRPr="000F23FB" w:rsidRDefault="000F23FB" w:rsidP="000F23FB">
      <w:pPr>
        <w:widowControl/>
        <w:spacing w:before="31" w:after="100" w:afterAutospacing="1"/>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（四）、项目的可持续性分析</w:t>
      </w:r>
    </w:p>
    <w:p w:rsidR="000F23FB" w:rsidRPr="000F23FB" w:rsidRDefault="000F23FB" w:rsidP="000F23FB">
      <w:pPr>
        <w:widowControl/>
        <w:spacing w:before="31" w:after="100" w:afterAutospacing="1"/>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2018年中心通过加快信息化建设步伐，不仅实现了变“群众奔波”为“信息跑腿”，为群众提供更加人性化服务。</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（五）、项目预算批复的绩效指标完成情况分析</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lastRenderedPageBreak/>
        <w:t>项目预算批复数的绩效指标为</w:t>
      </w:r>
      <w:proofErr w:type="gramStart"/>
      <w:r w:rsidRPr="000F23FB">
        <w:rPr>
          <w:rFonts w:ascii="仿宋" w:eastAsia="仿宋" w:hAnsi="仿宋" w:cs="宋体" w:hint="eastAsia"/>
          <w:b/>
          <w:bCs/>
          <w:color w:val="333333"/>
          <w:kern w:val="0"/>
          <w:sz w:val="32"/>
          <w:szCs w:val="32"/>
        </w:rPr>
        <w:t>伟奥住房</w:t>
      </w:r>
      <w:proofErr w:type="gramEnd"/>
      <w:r w:rsidRPr="000F23FB">
        <w:rPr>
          <w:rFonts w:ascii="仿宋" w:eastAsia="仿宋" w:hAnsi="仿宋" w:cs="宋体" w:hint="eastAsia"/>
          <w:b/>
          <w:bCs/>
          <w:color w:val="333333"/>
          <w:kern w:val="0"/>
          <w:sz w:val="32"/>
          <w:szCs w:val="32"/>
        </w:rPr>
        <w:t>公积金管理系统3.0软件项目，此项目已经按照进度完成预算绩效指标。</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（六）、项目绩效目标未完成原因分析</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此项目绩效目标已全部达成</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宋体" w:cs="宋体" w:hint="eastAsia"/>
          <w:b/>
          <w:bCs/>
          <w:color w:val="333333"/>
          <w:kern w:val="0"/>
          <w:sz w:val="32"/>
          <w:szCs w:val="32"/>
        </w:rPr>
        <w:t xml:space="preserve">     </w:t>
      </w:r>
      <w:r w:rsidRPr="000F23FB">
        <w:rPr>
          <w:rFonts w:ascii="仿宋" w:eastAsia="仿宋" w:hAnsi="仿宋" w:cs="宋体" w:hint="eastAsia"/>
          <w:b/>
          <w:bCs/>
          <w:color w:val="333333"/>
          <w:kern w:val="0"/>
          <w:sz w:val="32"/>
          <w:szCs w:val="32"/>
        </w:rPr>
        <w:t xml:space="preserve">           双鸭山市住房公积金管理中心</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 xml:space="preserve"> </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 xml:space="preserve"> </w:t>
      </w:r>
    </w:p>
    <w:p w:rsidR="000F23FB" w:rsidRPr="000F23FB" w:rsidRDefault="000F23FB" w:rsidP="000F23FB">
      <w:pPr>
        <w:widowControl/>
        <w:rPr>
          <w:rFonts w:ascii="仿宋" w:eastAsia="仿宋" w:hAnsi="仿宋" w:cs="宋体" w:hint="eastAsia"/>
          <w:b/>
          <w:bCs/>
          <w:color w:val="333333"/>
          <w:kern w:val="0"/>
          <w:sz w:val="32"/>
          <w:szCs w:val="32"/>
        </w:rPr>
      </w:pPr>
      <w:r w:rsidRPr="000F23FB">
        <w:rPr>
          <w:rFonts w:ascii="仿宋" w:eastAsia="仿宋" w:hAnsi="仿宋" w:cs="宋体" w:hint="eastAsia"/>
          <w:b/>
          <w:bCs/>
          <w:color w:val="333333"/>
          <w:kern w:val="0"/>
          <w:sz w:val="32"/>
          <w:szCs w:val="32"/>
        </w:rPr>
        <w:t xml:space="preserve"> </w:t>
      </w:r>
    </w:p>
    <w:p w:rsidR="000F23FB" w:rsidRPr="000F23FB" w:rsidRDefault="000F23FB" w:rsidP="000F23FB">
      <w:pPr>
        <w:spacing w:line="520" w:lineRule="exact"/>
        <w:rPr>
          <w:rFonts w:ascii="宋体" w:eastAsia="宋体" w:hAnsi="宋体" w:cs="Times New Roman" w:hint="eastAsia"/>
          <w:sz w:val="44"/>
          <w:szCs w:val="44"/>
        </w:rPr>
      </w:pPr>
      <w:r w:rsidRPr="000F23FB">
        <w:rPr>
          <w:rFonts w:ascii="宋体" w:eastAsia="宋体" w:hAnsi="宋体" w:cs="Times New Roman" w:hint="eastAsia"/>
          <w:sz w:val="44"/>
          <w:szCs w:val="44"/>
        </w:rPr>
        <w:t>项目绩效</w:t>
      </w:r>
      <w:proofErr w:type="gramStart"/>
      <w:r w:rsidRPr="000F23FB">
        <w:rPr>
          <w:rFonts w:ascii="宋体" w:eastAsia="宋体" w:hAnsi="宋体" w:cs="Times New Roman" w:hint="eastAsia"/>
          <w:sz w:val="44"/>
          <w:szCs w:val="44"/>
        </w:rPr>
        <w:t>管理自评价</w:t>
      </w:r>
      <w:proofErr w:type="gramEnd"/>
      <w:r w:rsidRPr="000F23FB">
        <w:rPr>
          <w:rFonts w:ascii="宋体" w:eastAsia="宋体" w:hAnsi="宋体" w:cs="Times New Roman" w:hint="eastAsia"/>
          <w:sz w:val="44"/>
          <w:szCs w:val="44"/>
        </w:rPr>
        <w:t>表</w:t>
      </w:r>
    </w:p>
    <w:p w:rsidR="000F23FB" w:rsidRPr="000F23FB" w:rsidRDefault="000F23FB" w:rsidP="000F23FB">
      <w:pPr>
        <w:spacing w:line="520" w:lineRule="exact"/>
        <w:jc w:val="center"/>
        <w:rPr>
          <w:rFonts w:ascii="宋体" w:eastAsia="宋体" w:hAnsi="宋体" w:cs="Times New Roman" w:hint="eastAsia"/>
          <w:sz w:val="44"/>
          <w:szCs w:val="44"/>
        </w:rPr>
      </w:pPr>
      <w:r w:rsidRPr="000F23FB">
        <w:rPr>
          <w:rFonts w:ascii="宋体" w:eastAsia="宋体" w:hAnsi="宋体" w:cs="Times New Roman" w:hint="eastAsia"/>
          <w:sz w:val="44"/>
          <w:szCs w:val="44"/>
        </w:rPr>
        <w:t xml:space="preserve"> </w:t>
      </w:r>
    </w:p>
    <w:tbl>
      <w:tblPr>
        <w:tblW w:w="0" w:type="auto"/>
        <w:tblInd w:w="-72" w:type="dxa"/>
        <w:tblLayout w:type="fixed"/>
        <w:tblLook w:val="04A0" w:firstRow="1" w:lastRow="0" w:firstColumn="1" w:lastColumn="0" w:noHBand="0" w:noVBand="1"/>
      </w:tblPr>
      <w:tblGrid>
        <w:gridCol w:w="900"/>
        <w:gridCol w:w="1080"/>
        <w:gridCol w:w="1080"/>
        <w:gridCol w:w="540"/>
        <w:gridCol w:w="1800"/>
        <w:gridCol w:w="720"/>
        <w:gridCol w:w="1260"/>
        <w:gridCol w:w="1260"/>
        <w:gridCol w:w="720"/>
      </w:tblGrid>
      <w:tr w:rsidR="000F23FB" w:rsidRPr="000F23FB" w:rsidTr="000F23FB">
        <w:trPr>
          <w:trHeight w:val="390"/>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年度总体目标</w:t>
            </w:r>
          </w:p>
        </w:tc>
        <w:tc>
          <w:tcPr>
            <w:tcW w:w="4500" w:type="dxa"/>
            <w:gridSpan w:val="4"/>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年初设定目标</w:t>
            </w:r>
          </w:p>
        </w:tc>
        <w:tc>
          <w:tcPr>
            <w:tcW w:w="3960" w:type="dxa"/>
            <w:gridSpan w:val="4"/>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全年实际完成情况</w:t>
            </w:r>
          </w:p>
        </w:tc>
      </w:tr>
      <w:tr w:rsidR="000F23FB" w:rsidRPr="000F23FB" w:rsidTr="000F23FB">
        <w:trPr>
          <w:trHeight w:val="39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20"/>
                <w:szCs w:val="20"/>
              </w:rPr>
            </w:pPr>
          </w:p>
        </w:tc>
        <w:tc>
          <w:tcPr>
            <w:tcW w:w="4500" w:type="dxa"/>
            <w:gridSpan w:val="4"/>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目标1：</w:t>
            </w:r>
            <w:proofErr w:type="gramStart"/>
            <w:r w:rsidRPr="000F23FB">
              <w:rPr>
                <w:rFonts w:ascii="仿宋" w:eastAsia="仿宋" w:hAnsi="仿宋" w:cs="宋体" w:hint="eastAsia"/>
                <w:b/>
                <w:bCs/>
                <w:color w:val="333333"/>
                <w:kern w:val="0"/>
                <w:sz w:val="24"/>
                <w:szCs w:val="24"/>
              </w:rPr>
              <w:t>伟奥住房</w:t>
            </w:r>
            <w:proofErr w:type="gramEnd"/>
            <w:r w:rsidRPr="000F23FB">
              <w:rPr>
                <w:rFonts w:ascii="仿宋" w:eastAsia="仿宋" w:hAnsi="仿宋" w:cs="宋体" w:hint="eastAsia"/>
                <w:b/>
                <w:bCs/>
                <w:color w:val="333333"/>
                <w:kern w:val="0"/>
                <w:sz w:val="24"/>
                <w:szCs w:val="24"/>
              </w:rPr>
              <w:t>公积金管理系统3.0软件</w:t>
            </w:r>
          </w:p>
        </w:tc>
        <w:tc>
          <w:tcPr>
            <w:tcW w:w="3960" w:type="dxa"/>
            <w:gridSpan w:val="4"/>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完成 </w:t>
            </w:r>
          </w:p>
        </w:tc>
      </w:tr>
      <w:tr w:rsidR="000F23FB" w:rsidRPr="000F23FB" w:rsidTr="000F23FB">
        <w:trPr>
          <w:trHeight w:val="39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20"/>
                <w:szCs w:val="20"/>
              </w:rPr>
            </w:pPr>
          </w:p>
        </w:tc>
        <w:tc>
          <w:tcPr>
            <w:tcW w:w="4500" w:type="dxa"/>
            <w:gridSpan w:val="4"/>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目标2：</w:t>
            </w:r>
          </w:p>
        </w:tc>
        <w:tc>
          <w:tcPr>
            <w:tcW w:w="3960" w:type="dxa"/>
            <w:gridSpan w:val="4"/>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39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20"/>
                <w:szCs w:val="20"/>
              </w:rPr>
            </w:pPr>
          </w:p>
        </w:tc>
        <w:tc>
          <w:tcPr>
            <w:tcW w:w="4500" w:type="dxa"/>
            <w:gridSpan w:val="4"/>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目标3：</w:t>
            </w:r>
          </w:p>
        </w:tc>
        <w:tc>
          <w:tcPr>
            <w:tcW w:w="3960" w:type="dxa"/>
            <w:gridSpan w:val="4"/>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36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20"/>
                <w:szCs w:val="20"/>
              </w:rPr>
            </w:pPr>
          </w:p>
        </w:tc>
        <w:tc>
          <w:tcPr>
            <w:tcW w:w="4500" w:type="dxa"/>
            <w:gridSpan w:val="4"/>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3960" w:type="dxa"/>
            <w:gridSpan w:val="4"/>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522"/>
        </w:trPr>
        <w:tc>
          <w:tcPr>
            <w:tcW w:w="900" w:type="dxa"/>
            <w:tcBorders>
              <w:top w:val="nil"/>
              <w:left w:val="single" w:sz="4" w:space="0" w:color="auto"/>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绩效</w:t>
            </w:r>
          </w:p>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指标</w:t>
            </w:r>
          </w:p>
        </w:tc>
        <w:tc>
          <w:tcPr>
            <w:tcW w:w="108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一级</w:t>
            </w:r>
          </w:p>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指标</w:t>
            </w:r>
          </w:p>
        </w:tc>
        <w:tc>
          <w:tcPr>
            <w:tcW w:w="108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二级</w:t>
            </w:r>
          </w:p>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指标</w:t>
            </w:r>
          </w:p>
        </w:tc>
        <w:tc>
          <w:tcPr>
            <w:tcW w:w="2340" w:type="dxa"/>
            <w:gridSpan w:val="2"/>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三级指标</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数量单位</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年度指标值</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全年完成值</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得分</w:t>
            </w:r>
          </w:p>
        </w:tc>
      </w:tr>
      <w:tr w:rsidR="000F23FB" w:rsidRPr="000F23FB" w:rsidTr="000F23FB">
        <w:trPr>
          <w:trHeight w:val="390"/>
        </w:trPr>
        <w:tc>
          <w:tcPr>
            <w:tcW w:w="900" w:type="dxa"/>
            <w:vMerge w:val="restart"/>
            <w:tcBorders>
              <w:top w:val="nil"/>
              <w:left w:val="single" w:sz="4" w:space="0" w:color="auto"/>
              <w:bottom w:val="nil"/>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绩效</w:t>
            </w:r>
          </w:p>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指标</w:t>
            </w:r>
          </w:p>
        </w:tc>
        <w:tc>
          <w:tcPr>
            <w:tcW w:w="1080" w:type="dxa"/>
            <w:vMerge w:val="restart"/>
            <w:tcBorders>
              <w:top w:val="nil"/>
              <w:left w:val="nil"/>
              <w:bottom w:val="nil"/>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产出指标</w:t>
            </w:r>
          </w:p>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25分</w:t>
            </w:r>
          </w:p>
        </w:tc>
        <w:tc>
          <w:tcPr>
            <w:tcW w:w="1080" w:type="dxa"/>
            <w:vMerge w:val="restart"/>
            <w:tcBorders>
              <w:top w:val="nil"/>
              <w:left w:val="nil"/>
              <w:bottom w:val="nil"/>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数量指标</w:t>
            </w:r>
          </w:p>
        </w:tc>
        <w:tc>
          <w:tcPr>
            <w:tcW w:w="54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1</w:t>
            </w:r>
          </w:p>
        </w:tc>
        <w:tc>
          <w:tcPr>
            <w:tcW w:w="1800" w:type="dxa"/>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proofErr w:type="gramStart"/>
            <w:r w:rsidRPr="000F23FB">
              <w:rPr>
                <w:rFonts w:ascii="仿宋" w:eastAsia="仿宋" w:hAnsi="仿宋" w:cs="宋体" w:hint="eastAsia"/>
                <w:b/>
                <w:bCs/>
                <w:color w:val="333333"/>
                <w:kern w:val="0"/>
                <w:sz w:val="24"/>
                <w:szCs w:val="24"/>
              </w:rPr>
              <w:t>伟奥</w:t>
            </w:r>
            <w:proofErr w:type="gramEnd"/>
            <w:r w:rsidRPr="000F23FB">
              <w:rPr>
                <w:rFonts w:ascii="仿宋" w:eastAsia="仿宋" w:hAnsi="仿宋" w:cs="宋体" w:hint="eastAsia"/>
                <w:b/>
                <w:bCs/>
                <w:color w:val="333333"/>
                <w:kern w:val="0"/>
                <w:sz w:val="24"/>
                <w:szCs w:val="24"/>
              </w:rPr>
              <w:t>3.0软件</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100%</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390"/>
        </w:trPr>
        <w:tc>
          <w:tcPr>
            <w:tcW w:w="900" w:type="dxa"/>
            <w:vMerge/>
            <w:tcBorders>
              <w:top w:val="nil"/>
              <w:left w:val="single" w:sz="4" w:space="0" w:color="auto"/>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8460" w:type="dxa"/>
            <w:vMerge/>
            <w:tcBorders>
              <w:top w:val="nil"/>
              <w:left w:val="nil"/>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1080" w:type="dxa"/>
            <w:vMerge/>
            <w:tcBorders>
              <w:top w:val="nil"/>
              <w:left w:val="nil"/>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54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2</w:t>
            </w:r>
          </w:p>
        </w:tc>
        <w:tc>
          <w:tcPr>
            <w:tcW w:w="1800" w:type="dxa"/>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390"/>
        </w:trPr>
        <w:tc>
          <w:tcPr>
            <w:tcW w:w="900" w:type="dxa"/>
            <w:vMerge/>
            <w:tcBorders>
              <w:top w:val="nil"/>
              <w:left w:val="single" w:sz="4" w:space="0" w:color="auto"/>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8460" w:type="dxa"/>
            <w:vMerge/>
            <w:tcBorders>
              <w:top w:val="nil"/>
              <w:left w:val="nil"/>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1080" w:type="dxa"/>
            <w:vMerge/>
            <w:tcBorders>
              <w:top w:val="nil"/>
              <w:left w:val="nil"/>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54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3</w:t>
            </w:r>
          </w:p>
        </w:tc>
        <w:tc>
          <w:tcPr>
            <w:tcW w:w="1800" w:type="dxa"/>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390"/>
        </w:trPr>
        <w:tc>
          <w:tcPr>
            <w:tcW w:w="900" w:type="dxa"/>
            <w:vMerge/>
            <w:tcBorders>
              <w:top w:val="nil"/>
              <w:left w:val="single" w:sz="4" w:space="0" w:color="auto"/>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1080" w:type="dxa"/>
            <w:vMerge w:val="restart"/>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产出指标（续）</w:t>
            </w:r>
          </w:p>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25分</w:t>
            </w:r>
          </w:p>
        </w:tc>
        <w:tc>
          <w:tcPr>
            <w:tcW w:w="1080" w:type="dxa"/>
            <w:vMerge w:val="restart"/>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质量指标</w:t>
            </w:r>
          </w:p>
        </w:tc>
        <w:tc>
          <w:tcPr>
            <w:tcW w:w="54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1</w:t>
            </w:r>
          </w:p>
        </w:tc>
        <w:tc>
          <w:tcPr>
            <w:tcW w:w="1800" w:type="dxa"/>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国标</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符合</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390"/>
        </w:trPr>
        <w:tc>
          <w:tcPr>
            <w:tcW w:w="900" w:type="dxa"/>
            <w:vMerge/>
            <w:tcBorders>
              <w:top w:val="nil"/>
              <w:left w:val="single" w:sz="4" w:space="0" w:color="auto"/>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8460" w:type="dxa"/>
            <w:vMerge/>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1080" w:type="dxa"/>
            <w:vMerge/>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54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2</w:t>
            </w:r>
          </w:p>
        </w:tc>
        <w:tc>
          <w:tcPr>
            <w:tcW w:w="1800" w:type="dxa"/>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390"/>
        </w:trPr>
        <w:tc>
          <w:tcPr>
            <w:tcW w:w="900" w:type="dxa"/>
            <w:vMerge/>
            <w:tcBorders>
              <w:top w:val="nil"/>
              <w:left w:val="single" w:sz="4" w:space="0" w:color="auto"/>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8460" w:type="dxa"/>
            <w:vMerge/>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1080" w:type="dxa"/>
            <w:vMerge/>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54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3</w:t>
            </w:r>
          </w:p>
        </w:tc>
        <w:tc>
          <w:tcPr>
            <w:tcW w:w="1800" w:type="dxa"/>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390"/>
        </w:trPr>
        <w:tc>
          <w:tcPr>
            <w:tcW w:w="900" w:type="dxa"/>
            <w:vMerge/>
            <w:tcBorders>
              <w:top w:val="nil"/>
              <w:left w:val="single" w:sz="4" w:space="0" w:color="auto"/>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8460" w:type="dxa"/>
            <w:vMerge/>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1080" w:type="dxa"/>
            <w:vMerge w:val="restart"/>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时效指标</w:t>
            </w:r>
          </w:p>
        </w:tc>
        <w:tc>
          <w:tcPr>
            <w:tcW w:w="54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1</w:t>
            </w:r>
          </w:p>
        </w:tc>
        <w:tc>
          <w:tcPr>
            <w:tcW w:w="1800" w:type="dxa"/>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资金支付及时率</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100%</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390"/>
        </w:trPr>
        <w:tc>
          <w:tcPr>
            <w:tcW w:w="900" w:type="dxa"/>
            <w:vMerge/>
            <w:tcBorders>
              <w:top w:val="nil"/>
              <w:left w:val="single" w:sz="4" w:space="0" w:color="auto"/>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8460" w:type="dxa"/>
            <w:vMerge/>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1080" w:type="dxa"/>
            <w:vMerge/>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54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2</w:t>
            </w:r>
          </w:p>
        </w:tc>
        <w:tc>
          <w:tcPr>
            <w:tcW w:w="1800" w:type="dxa"/>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390"/>
        </w:trPr>
        <w:tc>
          <w:tcPr>
            <w:tcW w:w="900" w:type="dxa"/>
            <w:vMerge/>
            <w:tcBorders>
              <w:top w:val="nil"/>
              <w:left w:val="single" w:sz="4" w:space="0" w:color="auto"/>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8460" w:type="dxa"/>
            <w:vMerge/>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1080" w:type="dxa"/>
            <w:vMerge/>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54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3</w:t>
            </w:r>
          </w:p>
        </w:tc>
        <w:tc>
          <w:tcPr>
            <w:tcW w:w="1800" w:type="dxa"/>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390"/>
        </w:trPr>
        <w:tc>
          <w:tcPr>
            <w:tcW w:w="900" w:type="dxa"/>
            <w:vMerge/>
            <w:tcBorders>
              <w:top w:val="nil"/>
              <w:left w:val="single" w:sz="4" w:space="0" w:color="auto"/>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1080" w:type="dxa"/>
            <w:vMerge w:val="restart"/>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效益指标</w:t>
            </w:r>
          </w:p>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30分</w:t>
            </w:r>
          </w:p>
        </w:tc>
        <w:tc>
          <w:tcPr>
            <w:tcW w:w="1080" w:type="dxa"/>
            <w:vMerge w:val="restart"/>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2"/>
              </w:rPr>
            </w:pPr>
            <w:r w:rsidRPr="000F23FB">
              <w:rPr>
                <w:rFonts w:ascii="宋体" w:eastAsia="宋体" w:hAnsi="宋体" w:cs="Times New Roman" w:hint="eastAsia"/>
                <w:color w:val="000000"/>
                <w:kern w:val="0"/>
                <w:sz w:val="22"/>
              </w:rPr>
              <w:t>经济效益指标</w:t>
            </w:r>
          </w:p>
        </w:tc>
        <w:tc>
          <w:tcPr>
            <w:tcW w:w="54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1</w:t>
            </w:r>
          </w:p>
        </w:tc>
        <w:tc>
          <w:tcPr>
            <w:tcW w:w="1800" w:type="dxa"/>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390"/>
        </w:trPr>
        <w:tc>
          <w:tcPr>
            <w:tcW w:w="900" w:type="dxa"/>
            <w:vMerge/>
            <w:tcBorders>
              <w:top w:val="nil"/>
              <w:left w:val="single" w:sz="4" w:space="0" w:color="auto"/>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8460" w:type="dxa"/>
            <w:vMerge/>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1080" w:type="dxa"/>
            <w:vMerge/>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22"/>
              </w:rPr>
            </w:pPr>
          </w:p>
        </w:tc>
        <w:tc>
          <w:tcPr>
            <w:tcW w:w="54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2</w:t>
            </w:r>
          </w:p>
        </w:tc>
        <w:tc>
          <w:tcPr>
            <w:tcW w:w="1800" w:type="dxa"/>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390"/>
        </w:trPr>
        <w:tc>
          <w:tcPr>
            <w:tcW w:w="900" w:type="dxa"/>
            <w:vMerge/>
            <w:tcBorders>
              <w:top w:val="nil"/>
              <w:left w:val="single" w:sz="4" w:space="0" w:color="auto"/>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8460" w:type="dxa"/>
            <w:vMerge/>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1080" w:type="dxa"/>
            <w:vMerge/>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22"/>
              </w:rPr>
            </w:pPr>
          </w:p>
        </w:tc>
        <w:tc>
          <w:tcPr>
            <w:tcW w:w="54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3</w:t>
            </w:r>
          </w:p>
        </w:tc>
        <w:tc>
          <w:tcPr>
            <w:tcW w:w="1800" w:type="dxa"/>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390"/>
        </w:trPr>
        <w:tc>
          <w:tcPr>
            <w:tcW w:w="900" w:type="dxa"/>
            <w:vMerge/>
            <w:tcBorders>
              <w:top w:val="nil"/>
              <w:left w:val="single" w:sz="4" w:space="0" w:color="auto"/>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8460" w:type="dxa"/>
            <w:vMerge/>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1080" w:type="dxa"/>
            <w:vMerge w:val="restart"/>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社会效益指标</w:t>
            </w:r>
          </w:p>
        </w:tc>
        <w:tc>
          <w:tcPr>
            <w:tcW w:w="54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1</w:t>
            </w:r>
          </w:p>
        </w:tc>
        <w:tc>
          <w:tcPr>
            <w:tcW w:w="1800" w:type="dxa"/>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390"/>
        </w:trPr>
        <w:tc>
          <w:tcPr>
            <w:tcW w:w="900" w:type="dxa"/>
            <w:vMerge/>
            <w:tcBorders>
              <w:top w:val="nil"/>
              <w:left w:val="single" w:sz="4" w:space="0" w:color="auto"/>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8460" w:type="dxa"/>
            <w:vMerge/>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1080" w:type="dxa"/>
            <w:vMerge/>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54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2</w:t>
            </w:r>
          </w:p>
        </w:tc>
        <w:tc>
          <w:tcPr>
            <w:tcW w:w="1800" w:type="dxa"/>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390"/>
        </w:trPr>
        <w:tc>
          <w:tcPr>
            <w:tcW w:w="900" w:type="dxa"/>
            <w:vMerge/>
            <w:tcBorders>
              <w:top w:val="nil"/>
              <w:left w:val="single" w:sz="4" w:space="0" w:color="auto"/>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8460" w:type="dxa"/>
            <w:vMerge/>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1080" w:type="dxa"/>
            <w:vMerge/>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54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3</w:t>
            </w:r>
          </w:p>
        </w:tc>
        <w:tc>
          <w:tcPr>
            <w:tcW w:w="1800" w:type="dxa"/>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390"/>
        </w:trPr>
        <w:tc>
          <w:tcPr>
            <w:tcW w:w="900" w:type="dxa"/>
            <w:vMerge/>
            <w:tcBorders>
              <w:top w:val="nil"/>
              <w:left w:val="single" w:sz="4" w:space="0" w:color="auto"/>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1080" w:type="dxa"/>
            <w:vMerge w:val="restart"/>
            <w:tcBorders>
              <w:top w:val="nil"/>
              <w:left w:val="nil"/>
              <w:bottom w:val="nil"/>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满意度</w:t>
            </w:r>
          </w:p>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指标</w:t>
            </w:r>
          </w:p>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20分</w:t>
            </w:r>
          </w:p>
        </w:tc>
        <w:tc>
          <w:tcPr>
            <w:tcW w:w="1080" w:type="dxa"/>
            <w:vMerge w:val="restart"/>
            <w:tcBorders>
              <w:top w:val="nil"/>
              <w:left w:val="nil"/>
              <w:bottom w:val="nil"/>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服务对象满意度指标</w:t>
            </w:r>
          </w:p>
        </w:tc>
        <w:tc>
          <w:tcPr>
            <w:tcW w:w="54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1</w:t>
            </w:r>
          </w:p>
        </w:tc>
        <w:tc>
          <w:tcPr>
            <w:tcW w:w="1800" w:type="dxa"/>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390"/>
        </w:trPr>
        <w:tc>
          <w:tcPr>
            <w:tcW w:w="900" w:type="dxa"/>
            <w:vMerge/>
            <w:tcBorders>
              <w:top w:val="nil"/>
              <w:left w:val="single" w:sz="4" w:space="0" w:color="auto"/>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8460" w:type="dxa"/>
            <w:vMerge/>
            <w:tcBorders>
              <w:top w:val="nil"/>
              <w:left w:val="nil"/>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1080" w:type="dxa"/>
            <w:vMerge/>
            <w:tcBorders>
              <w:top w:val="nil"/>
              <w:left w:val="nil"/>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54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2</w:t>
            </w:r>
          </w:p>
        </w:tc>
        <w:tc>
          <w:tcPr>
            <w:tcW w:w="1800" w:type="dxa"/>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390"/>
        </w:trPr>
        <w:tc>
          <w:tcPr>
            <w:tcW w:w="900" w:type="dxa"/>
            <w:vMerge/>
            <w:tcBorders>
              <w:top w:val="nil"/>
              <w:left w:val="single" w:sz="4" w:space="0" w:color="auto"/>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8460" w:type="dxa"/>
            <w:vMerge/>
            <w:tcBorders>
              <w:top w:val="nil"/>
              <w:left w:val="nil"/>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1080" w:type="dxa"/>
            <w:vMerge/>
            <w:tcBorders>
              <w:top w:val="nil"/>
              <w:left w:val="nil"/>
              <w:bottom w:val="nil"/>
              <w:right w:val="single" w:sz="4" w:space="0" w:color="auto"/>
            </w:tcBorders>
            <w:vAlign w:val="center"/>
            <w:hideMark/>
          </w:tcPr>
          <w:p w:rsidR="000F23FB" w:rsidRPr="000F23FB" w:rsidRDefault="000F23FB" w:rsidP="000F23FB">
            <w:pPr>
              <w:widowControl/>
              <w:jc w:val="left"/>
              <w:rPr>
                <w:rFonts w:ascii="宋体" w:eastAsia="宋体" w:hAnsi="宋体" w:cs="Times New Roman"/>
                <w:color w:val="000000"/>
                <w:kern w:val="0"/>
                <w:sz w:val="18"/>
                <w:szCs w:val="18"/>
              </w:rPr>
            </w:pPr>
          </w:p>
        </w:tc>
        <w:tc>
          <w:tcPr>
            <w:tcW w:w="54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3</w:t>
            </w:r>
          </w:p>
        </w:tc>
        <w:tc>
          <w:tcPr>
            <w:tcW w:w="1800" w:type="dxa"/>
            <w:tcBorders>
              <w:top w:val="single" w:sz="4" w:space="0" w:color="auto"/>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18"/>
                <w:szCs w:val="18"/>
              </w:rPr>
            </w:pPr>
            <w:r w:rsidRPr="000F23FB">
              <w:rPr>
                <w:rFonts w:ascii="宋体" w:eastAsia="宋体" w:hAnsi="宋体" w:cs="Times New Roman" w:hint="eastAsia"/>
                <w:color w:val="000000"/>
                <w:kern w:val="0"/>
                <w:sz w:val="18"/>
                <w:szCs w:val="18"/>
              </w:rPr>
              <w:t xml:space="preserve">　</w:t>
            </w:r>
          </w:p>
        </w:tc>
        <w:tc>
          <w:tcPr>
            <w:tcW w:w="1260" w:type="dxa"/>
            <w:tcBorders>
              <w:top w:val="nil"/>
              <w:left w:val="nil"/>
              <w:bottom w:val="single" w:sz="4" w:space="0" w:color="auto"/>
              <w:right w:val="single" w:sz="4" w:space="0" w:color="auto"/>
            </w:tcBorders>
            <w:vAlign w:val="center"/>
            <w:hideMark/>
          </w:tcPr>
          <w:p w:rsidR="000F23FB" w:rsidRPr="000F23FB" w:rsidRDefault="000F23FB" w:rsidP="000F23FB">
            <w:pPr>
              <w:widowControl/>
              <w:jc w:val="left"/>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c>
          <w:tcPr>
            <w:tcW w:w="720" w:type="dxa"/>
            <w:tcBorders>
              <w:top w:val="nil"/>
              <w:left w:val="nil"/>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 xml:space="preserve">　</w:t>
            </w:r>
          </w:p>
        </w:tc>
      </w:tr>
      <w:tr w:rsidR="000F23FB" w:rsidRPr="000F23FB" w:rsidTr="000F23FB">
        <w:trPr>
          <w:trHeight w:val="2198"/>
        </w:trPr>
        <w:tc>
          <w:tcPr>
            <w:tcW w:w="900" w:type="dxa"/>
            <w:tcBorders>
              <w:top w:val="single" w:sz="4" w:space="0" w:color="auto"/>
              <w:left w:val="single" w:sz="4" w:space="0" w:color="auto"/>
              <w:bottom w:val="single" w:sz="4" w:space="0" w:color="auto"/>
              <w:right w:val="single" w:sz="4" w:space="0" w:color="auto"/>
            </w:tcBorders>
            <w:vAlign w:val="center"/>
            <w:hideMark/>
          </w:tcPr>
          <w:p w:rsidR="000F23FB" w:rsidRPr="000F23FB" w:rsidRDefault="000F23FB" w:rsidP="000F23FB">
            <w:pPr>
              <w:widowControl/>
              <w:jc w:val="center"/>
              <w:rPr>
                <w:rFonts w:ascii="宋体" w:eastAsia="宋体" w:hAnsi="宋体" w:cs="Times New Roman" w:hint="eastAsia"/>
                <w:color w:val="000000"/>
                <w:kern w:val="0"/>
                <w:sz w:val="20"/>
                <w:szCs w:val="20"/>
              </w:rPr>
            </w:pPr>
            <w:r w:rsidRPr="000F23FB">
              <w:rPr>
                <w:rFonts w:ascii="宋体" w:eastAsia="宋体" w:hAnsi="宋体" w:cs="Times New Roman" w:hint="eastAsia"/>
                <w:color w:val="000000"/>
                <w:kern w:val="0"/>
                <w:sz w:val="20"/>
                <w:szCs w:val="20"/>
              </w:rPr>
              <w:t>说明</w:t>
            </w:r>
          </w:p>
        </w:tc>
        <w:tc>
          <w:tcPr>
            <w:tcW w:w="8460" w:type="dxa"/>
            <w:gridSpan w:val="8"/>
            <w:tcBorders>
              <w:top w:val="single" w:sz="4" w:space="0" w:color="auto"/>
              <w:left w:val="nil"/>
              <w:bottom w:val="single" w:sz="4" w:space="0" w:color="auto"/>
              <w:right w:val="single" w:sz="4" w:space="0" w:color="000000"/>
            </w:tcBorders>
            <w:vAlign w:val="center"/>
            <w:hideMark/>
          </w:tcPr>
          <w:p w:rsidR="000F23FB" w:rsidRPr="000F23FB" w:rsidRDefault="000F23FB" w:rsidP="000F23FB">
            <w:pPr>
              <w:widowControl/>
              <w:jc w:val="center"/>
              <w:rPr>
                <w:rFonts w:ascii="宋体" w:eastAsia="宋体" w:hAnsi="宋体" w:cs="Times New Roman" w:hint="eastAsia"/>
                <w:color w:val="FF0000"/>
                <w:kern w:val="0"/>
                <w:sz w:val="20"/>
                <w:szCs w:val="20"/>
              </w:rPr>
            </w:pPr>
            <w:r w:rsidRPr="000F23FB">
              <w:rPr>
                <w:rFonts w:ascii="宋体" w:eastAsia="宋体" w:hAnsi="宋体" w:cs="Times New Roman" w:hint="eastAsia"/>
                <w:color w:val="FF0000"/>
                <w:kern w:val="0"/>
                <w:sz w:val="20"/>
                <w:szCs w:val="20"/>
              </w:rPr>
              <w:t>无</w:t>
            </w:r>
          </w:p>
        </w:tc>
      </w:tr>
    </w:tbl>
    <w:p w:rsidR="000F23FB" w:rsidRPr="000F23FB" w:rsidRDefault="000F23FB" w:rsidP="000F23FB">
      <w:pPr>
        <w:autoSpaceDE w:val="0"/>
        <w:spacing w:line="560" w:lineRule="exact"/>
        <w:rPr>
          <w:rFonts w:ascii="仿宋_GB2312" w:eastAsia="宋体" w:hAnsi="仿宋_GB2312" w:cs="Times New Roman" w:hint="eastAsia"/>
          <w:color w:val="FF0000"/>
          <w:sz w:val="44"/>
          <w:szCs w:val="44"/>
        </w:rPr>
      </w:pPr>
      <w:r w:rsidRPr="000F23FB">
        <w:rPr>
          <w:rFonts w:ascii="仿宋_GB2312" w:eastAsia="宋体" w:hAnsi="仿宋_GB2312" w:cs="Times New Roman"/>
          <w:color w:val="FF0000"/>
          <w:sz w:val="44"/>
          <w:szCs w:val="44"/>
        </w:rPr>
        <w:t xml:space="preserve"> </w:t>
      </w:r>
    </w:p>
    <w:p w:rsidR="009D02A6" w:rsidRDefault="009D02A6"/>
    <w:sectPr w:rsidR="009D02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E77FF"/>
    <w:multiLevelType w:val="multilevel"/>
    <w:tmpl w:val="A4A27D60"/>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53"/>
    <w:rsid w:val="000F23FB"/>
    <w:rsid w:val="0020298A"/>
    <w:rsid w:val="009C1B53"/>
    <w:rsid w:val="009D02A6"/>
    <w:rsid w:val="00DD1E24"/>
    <w:rsid w:val="00F60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1A699-DB1F-47B0-AD93-8A501515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9"/>
    <w:qFormat/>
    <w:rsid w:val="000F23FB"/>
    <w:pPr>
      <w:keepNext/>
      <w:keepLines/>
      <w:spacing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9"/>
    <w:qFormat/>
    <w:rsid w:val="000F23FB"/>
    <w:pPr>
      <w:keepNext/>
      <w:keepLines/>
      <w:spacing w:line="412" w:lineRule="auto"/>
      <w:outlineLvl w:val="1"/>
    </w:pPr>
    <w:rPr>
      <w:rFonts w:ascii="Arial" w:eastAsia="仿宋" w:hAnsi="Arial" w:cs="Arial"/>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0F23FB"/>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0F23FB"/>
    <w:rPr>
      <w:rFonts w:ascii="Arial" w:eastAsia="仿宋" w:hAnsi="Arial" w:cs="Arial"/>
      <w:b/>
      <w:bCs/>
      <w:sz w:val="30"/>
      <w:szCs w:val="30"/>
    </w:rPr>
  </w:style>
  <w:style w:type="numbering" w:customStyle="1" w:styleId="10">
    <w:name w:val="无列表1"/>
    <w:next w:val="a2"/>
    <w:uiPriority w:val="99"/>
    <w:semiHidden/>
    <w:unhideWhenUsed/>
    <w:rsid w:val="000F23FB"/>
  </w:style>
  <w:style w:type="paragraph" w:styleId="a3">
    <w:name w:val="footer"/>
    <w:basedOn w:val="a"/>
    <w:link w:val="Char"/>
    <w:uiPriority w:val="99"/>
    <w:semiHidden/>
    <w:unhideWhenUsed/>
    <w:rsid w:val="000F23FB"/>
    <w:pPr>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semiHidden/>
    <w:rsid w:val="000F23FB"/>
    <w:rPr>
      <w:rFonts w:ascii="Times New Roman" w:eastAsia="宋体" w:hAnsi="Times New Roman" w:cs="Times New Roman"/>
      <w:sz w:val="18"/>
      <w:szCs w:val="18"/>
    </w:rPr>
  </w:style>
  <w:style w:type="paragraph" w:styleId="a4">
    <w:name w:val="header"/>
    <w:basedOn w:val="a"/>
    <w:link w:val="Char0"/>
    <w:uiPriority w:val="99"/>
    <w:semiHidden/>
    <w:unhideWhenUsed/>
    <w:rsid w:val="000F23FB"/>
    <w:pPr>
      <w:pBdr>
        <w:bottom w:val="single" w:sz="6" w:space="1" w:color="auto"/>
      </w:pBdr>
      <w:snapToGrid w:val="0"/>
      <w:jc w:val="center"/>
    </w:pPr>
    <w:rPr>
      <w:rFonts w:ascii="Times New Roman" w:eastAsia="宋体" w:hAnsi="Times New Roman" w:cs="Times New Roman"/>
      <w:sz w:val="18"/>
      <w:szCs w:val="18"/>
    </w:rPr>
  </w:style>
  <w:style w:type="character" w:customStyle="1" w:styleId="Char0">
    <w:name w:val="页眉 Char"/>
    <w:basedOn w:val="a0"/>
    <w:link w:val="a4"/>
    <w:uiPriority w:val="99"/>
    <w:semiHidden/>
    <w:rsid w:val="000F23FB"/>
    <w:rPr>
      <w:rFonts w:ascii="Times New Roman" w:eastAsia="宋体" w:hAnsi="Times New Roman" w:cs="Times New Roman"/>
      <w:sz w:val="18"/>
      <w:szCs w:val="18"/>
    </w:rPr>
  </w:style>
  <w:style w:type="paragraph" w:styleId="a5">
    <w:name w:val="Normal (Web)"/>
    <w:basedOn w:val="a"/>
    <w:uiPriority w:val="99"/>
    <w:semiHidden/>
    <w:unhideWhenUsed/>
    <w:rsid w:val="000F23FB"/>
    <w:pPr>
      <w:widowControl/>
      <w:spacing w:before="100" w:beforeAutospacing="1" w:after="100" w:afterAutospacing="1"/>
      <w:jc w:val="left"/>
    </w:pPr>
    <w:rPr>
      <w:rFonts w:ascii="宋体" w:eastAsia="宋体" w:hAnsi="宋体" w:cs="宋体"/>
      <w:kern w:val="0"/>
      <w:sz w:val="24"/>
      <w:szCs w:val="24"/>
    </w:rPr>
  </w:style>
  <w:style w:type="paragraph" w:styleId="20">
    <w:name w:val="toc 2"/>
    <w:basedOn w:val="a"/>
    <w:next w:val="a"/>
    <w:autoRedefine/>
    <w:uiPriority w:val="99"/>
    <w:semiHidden/>
    <w:unhideWhenUsed/>
    <w:rsid w:val="000F23FB"/>
    <w:pPr>
      <w:spacing w:before="100" w:beforeAutospacing="1" w:after="100" w:afterAutospacing="1"/>
      <w:ind w:leftChars="200" w:left="420"/>
    </w:pPr>
    <w:rPr>
      <w:rFonts w:ascii="Times New Roman" w:eastAsia="宋体" w:hAnsi="Times New Roman" w:cs="Times New Roman"/>
      <w:szCs w:val="21"/>
    </w:rPr>
  </w:style>
  <w:style w:type="paragraph" w:styleId="11">
    <w:name w:val="toc 1"/>
    <w:basedOn w:val="a"/>
    <w:next w:val="a"/>
    <w:autoRedefine/>
    <w:uiPriority w:val="99"/>
    <w:semiHidden/>
    <w:unhideWhenUsed/>
    <w:rsid w:val="000F23FB"/>
    <w:rPr>
      <w:rFonts w:ascii="Times New Roman" w:eastAsia="宋体" w:hAnsi="Times New Roman" w:cs="Times New Roman"/>
      <w:szCs w:val="21"/>
    </w:rPr>
  </w:style>
  <w:style w:type="character" w:styleId="a6">
    <w:name w:val="Hyperlink"/>
    <w:basedOn w:val="a0"/>
    <w:uiPriority w:val="99"/>
    <w:unhideWhenUsed/>
    <w:rsid w:val="000F23FB"/>
    <w:rPr>
      <w:color w:val="0000FF"/>
      <w:u w:val="single"/>
    </w:rPr>
  </w:style>
  <w:style w:type="character" w:styleId="a7">
    <w:name w:val="FollowedHyperlink"/>
    <w:basedOn w:val="a0"/>
    <w:uiPriority w:val="99"/>
    <w:unhideWhenUsed/>
    <w:rsid w:val="000F23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5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2391</Words>
  <Characters>13634</Characters>
  <Application>Microsoft Office Word</Application>
  <DocSecurity>0</DocSecurity>
  <Lines>113</Lines>
  <Paragraphs>31</Paragraphs>
  <ScaleCrop>false</ScaleCrop>
  <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3</cp:revision>
  <dcterms:created xsi:type="dcterms:W3CDTF">2019-11-12T03:10:00Z</dcterms:created>
  <dcterms:modified xsi:type="dcterms:W3CDTF">2019-11-12T03:16:00Z</dcterms:modified>
</cp:coreProperties>
</file>